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53" w:rsidRPr="00B25B47" w:rsidRDefault="00497853" w:rsidP="00B25B47">
      <w:pPr>
        <w:pStyle w:val="1"/>
        <w:tabs>
          <w:tab w:val="clear" w:pos="432"/>
          <w:tab w:val="num" w:pos="0"/>
        </w:tabs>
        <w:ind w:left="0" w:firstLine="0"/>
        <w:rPr>
          <w:rFonts w:cs="Times New Roman"/>
          <w:sz w:val="19"/>
          <w:szCs w:val="19"/>
          <w:lang w:val="uk-UA"/>
        </w:rPr>
      </w:pPr>
      <w:r w:rsidRPr="00B25B47">
        <w:rPr>
          <w:rFonts w:cs="Times New Roman"/>
          <w:sz w:val="19"/>
          <w:szCs w:val="19"/>
          <w:lang w:val="uk-UA"/>
        </w:rPr>
        <w:t>ПОВІДОМЛЕННЯ ПРО ПРОВЕДЕННЯ</w:t>
      </w:r>
    </w:p>
    <w:p w:rsidR="00497853" w:rsidRPr="00B25B47" w:rsidRDefault="00497853" w:rsidP="00B25B47">
      <w:pPr>
        <w:tabs>
          <w:tab w:val="num" w:pos="0"/>
        </w:tabs>
        <w:jc w:val="center"/>
        <w:rPr>
          <w:rFonts w:cs="Times New Roman"/>
          <w:b/>
          <w:bCs/>
          <w:i/>
          <w:iCs/>
          <w:sz w:val="19"/>
          <w:szCs w:val="19"/>
          <w:lang w:val="uk-UA"/>
        </w:rPr>
      </w:pPr>
      <w:r w:rsidRPr="00B25B47">
        <w:rPr>
          <w:rFonts w:cs="Times New Roman"/>
          <w:b/>
          <w:bCs/>
          <w:i/>
          <w:iCs/>
          <w:sz w:val="19"/>
          <w:szCs w:val="19"/>
          <w:lang w:val="uk-UA"/>
        </w:rPr>
        <w:t>річних Загальних зборів акціонерів ПРАТ «</w:t>
      </w:r>
      <w:r w:rsidR="00127DD2" w:rsidRPr="00B25B47">
        <w:rPr>
          <w:rFonts w:cs="Times New Roman"/>
          <w:b/>
          <w:bCs/>
          <w:i/>
          <w:iCs/>
          <w:sz w:val="19"/>
          <w:szCs w:val="19"/>
          <w:lang w:val="uk-UA"/>
        </w:rPr>
        <w:t>ВОЛИНЬ</w:t>
      </w:r>
      <w:r w:rsidRPr="00B25B47">
        <w:rPr>
          <w:rFonts w:cs="Times New Roman"/>
          <w:b/>
          <w:bCs/>
          <w:i/>
          <w:iCs/>
          <w:sz w:val="19"/>
          <w:szCs w:val="19"/>
          <w:lang w:val="uk-UA"/>
        </w:rPr>
        <w:t>-</w:t>
      </w:r>
      <w:r w:rsidRPr="00B25B47">
        <w:rPr>
          <w:rFonts w:cs="Times New Roman"/>
          <w:b/>
          <w:i/>
          <w:sz w:val="19"/>
          <w:szCs w:val="19"/>
          <w:lang w:val="uk-UA"/>
        </w:rPr>
        <w:t>АВТО</w:t>
      </w:r>
      <w:r w:rsidRPr="00B25B47">
        <w:rPr>
          <w:rFonts w:cs="Times New Roman"/>
          <w:b/>
          <w:bCs/>
          <w:i/>
          <w:iCs/>
          <w:sz w:val="19"/>
          <w:szCs w:val="19"/>
          <w:lang w:val="uk-UA"/>
        </w:rPr>
        <w:t xml:space="preserve">», які призначені на </w:t>
      </w:r>
      <w:r w:rsidR="00127DD2" w:rsidRPr="00B25B47">
        <w:rPr>
          <w:rFonts w:cs="Times New Roman"/>
          <w:b/>
          <w:bCs/>
          <w:i/>
          <w:iCs/>
          <w:sz w:val="19"/>
          <w:szCs w:val="19"/>
          <w:lang w:val="uk-UA"/>
        </w:rPr>
        <w:t>0</w:t>
      </w:r>
      <w:r w:rsidR="00B109FB" w:rsidRPr="00B25B47">
        <w:rPr>
          <w:rFonts w:cs="Times New Roman"/>
          <w:b/>
          <w:bCs/>
          <w:i/>
          <w:iCs/>
          <w:sz w:val="19"/>
          <w:szCs w:val="19"/>
          <w:lang w:val="uk-UA"/>
        </w:rPr>
        <w:t>6</w:t>
      </w:r>
      <w:r w:rsidR="00127DD2" w:rsidRPr="00B25B47">
        <w:rPr>
          <w:rFonts w:cs="Times New Roman"/>
          <w:b/>
          <w:bCs/>
          <w:i/>
          <w:iCs/>
          <w:sz w:val="19"/>
          <w:szCs w:val="19"/>
          <w:lang w:val="uk-UA"/>
        </w:rPr>
        <w:t xml:space="preserve"> квітня </w:t>
      </w:r>
      <w:r w:rsidRPr="00B25B47">
        <w:rPr>
          <w:rFonts w:cs="Times New Roman"/>
          <w:b/>
          <w:bCs/>
          <w:i/>
          <w:iCs/>
          <w:sz w:val="19"/>
          <w:szCs w:val="19"/>
          <w:lang w:val="uk-UA"/>
        </w:rPr>
        <w:t>202</w:t>
      </w:r>
      <w:r w:rsidR="00B109FB" w:rsidRPr="00B25B47">
        <w:rPr>
          <w:rFonts w:cs="Times New Roman"/>
          <w:b/>
          <w:bCs/>
          <w:i/>
          <w:iCs/>
          <w:sz w:val="19"/>
          <w:szCs w:val="19"/>
          <w:lang w:val="uk-UA"/>
        </w:rPr>
        <w:t>1</w:t>
      </w:r>
      <w:r w:rsidRPr="00B25B47">
        <w:rPr>
          <w:rFonts w:cs="Times New Roman"/>
          <w:b/>
          <w:bCs/>
          <w:i/>
          <w:iCs/>
          <w:sz w:val="19"/>
          <w:szCs w:val="19"/>
          <w:lang w:val="uk-UA"/>
        </w:rPr>
        <w:t xml:space="preserve"> року</w:t>
      </w:r>
    </w:p>
    <w:p w:rsidR="00497853" w:rsidRPr="00B25B47" w:rsidRDefault="00497853" w:rsidP="00B25B47">
      <w:pPr>
        <w:jc w:val="both"/>
        <w:rPr>
          <w:b/>
          <w:sz w:val="19"/>
          <w:szCs w:val="19"/>
          <w:lang w:val="uk-UA"/>
        </w:rPr>
      </w:pPr>
    </w:p>
    <w:p w:rsidR="002D2086" w:rsidRPr="00B25B47" w:rsidRDefault="002D2086" w:rsidP="00B25B47">
      <w:pPr>
        <w:jc w:val="both"/>
        <w:rPr>
          <w:sz w:val="19"/>
          <w:szCs w:val="19"/>
          <w:lang w:val="uk-UA"/>
        </w:rPr>
      </w:pPr>
      <w:r w:rsidRPr="00B25B47">
        <w:rPr>
          <w:b/>
          <w:sz w:val="19"/>
          <w:szCs w:val="19"/>
          <w:lang w:val="uk-UA"/>
        </w:rPr>
        <w:t xml:space="preserve">ПРИВАТНЕ АКЦІОНЕРНЕ ТОВАРИСТВО </w:t>
      </w:r>
      <w:r w:rsidRPr="00B25B47">
        <w:rPr>
          <w:b/>
          <w:caps/>
          <w:sz w:val="19"/>
          <w:szCs w:val="19"/>
          <w:lang w:val="uk-UA"/>
        </w:rPr>
        <w:t>«</w:t>
      </w:r>
      <w:r w:rsidRPr="00B25B47">
        <w:rPr>
          <w:b/>
          <w:sz w:val="19"/>
          <w:szCs w:val="19"/>
          <w:lang w:val="uk-UA"/>
        </w:rPr>
        <w:t xml:space="preserve">ВОЛИНЬ-АВТО» </w:t>
      </w:r>
      <w:r w:rsidRPr="00B25B47">
        <w:rPr>
          <w:sz w:val="19"/>
          <w:szCs w:val="19"/>
          <w:lang w:val="uk-UA"/>
        </w:rPr>
        <w:t xml:space="preserve">(ідентифікаційний код – </w:t>
      </w:r>
      <w:r w:rsidRPr="00B25B47">
        <w:rPr>
          <w:b/>
          <w:sz w:val="19"/>
          <w:szCs w:val="19"/>
          <w:lang w:val="uk-UA"/>
        </w:rPr>
        <w:t>03120584</w:t>
      </w:r>
      <w:r w:rsidRPr="00B25B47">
        <w:rPr>
          <w:sz w:val="19"/>
          <w:szCs w:val="19"/>
          <w:lang w:val="uk-UA"/>
        </w:rPr>
        <w:t>) (надалі – Товариство), місцезнаходження якого: Україна, 43020, Волинська обл., м. Луцьк</w:t>
      </w:r>
      <w:r w:rsidRPr="00B25B47">
        <w:rPr>
          <w:sz w:val="19"/>
          <w:szCs w:val="19"/>
        </w:rPr>
        <w:t>,</w:t>
      </w:r>
      <w:r w:rsidRPr="00B25B47">
        <w:rPr>
          <w:sz w:val="19"/>
          <w:szCs w:val="19"/>
          <w:lang w:val="uk-UA"/>
        </w:rPr>
        <w:t xml:space="preserve"> вул. Рівненська, 145, повідомляє про проведення річних Загальних зборів акціонерів Товариства, призначених на</w:t>
      </w:r>
      <w:r w:rsidRPr="00B25B47">
        <w:rPr>
          <w:b/>
          <w:sz w:val="19"/>
          <w:szCs w:val="19"/>
          <w:lang w:val="uk-UA"/>
        </w:rPr>
        <w:t xml:space="preserve"> </w:t>
      </w:r>
      <w:r w:rsidRPr="00B25B47">
        <w:rPr>
          <w:b/>
          <w:sz w:val="19"/>
          <w:szCs w:val="19"/>
          <w:u w:val="single"/>
          <w:lang w:val="uk-UA"/>
        </w:rPr>
        <w:t>0</w:t>
      </w:r>
      <w:r w:rsidR="00B109FB" w:rsidRPr="00B25B47">
        <w:rPr>
          <w:b/>
          <w:sz w:val="19"/>
          <w:szCs w:val="19"/>
          <w:u w:val="single"/>
          <w:lang w:val="uk-UA"/>
        </w:rPr>
        <w:t>6</w:t>
      </w:r>
      <w:r w:rsidRPr="00B25B47">
        <w:rPr>
          <w:b/>
          <w:sz w:val="19"/>
          <w:szCs w:val="19"/>
          <w:u w:val="single"/>
          <w:lang w:val="uk-UA"/>
        </w:rPr>
        <w:t>.04.202</w:t>
      </w:r>
      <w:r w:rsidR="00B109FB" w:rsidRPr="00B25B47">
        <w:rPr>
          <w:b/>
          <w:sz w:val="19"/>
          <w:szCs w:val="19"/>
          <w:u w:val="single"/>
          <w:lang w:val="uk-UA"/>
        </w:rPr>
        <w:t>1</w:t>
      </w:r>
      <w:r w:rsidRPr="00B25B47">
        <w:rPr>
          <w:b/>
          <w:sz w:val="19"/>
          <w:szCs w:val="19"/>
          <w:u w:val="single"/>
          <w:lang w:val="uk-UA"/>
        </w:rPr>
        <w:t xml:space="preserve"> року о </w:t>
      </w:r>
      <w:r w:rsidR="00B109FB" w:rsidRPr="00B25B47">
        <w:rPr>
          <w:b/>
          <w:sz w:val="19"/>
          <w:szCs w:val="19"/>
          <w:u w:val="single"/>
          <w:lang w:val="uk-UA"/>
        </w:rPr>
        <w:t>15</w:t>
      </w:r>
      <w:r w:rsidRPr="00B25B47">
        <w:rPr>
          <w:b/>
          <w:sz w:val="19"/>
          <w:szCs w:val="19"/>
          <w:u w:val="single"/>
          <w:lang w:val="uk-UA"/>
        </w:rPr>
        <w:t>:00 годині</w:t>
      </w:r>
      <w:r w:rsidRPr="00B25B47">
        <w:rPr>
          <w:b/>
          <w:sz w:val="19"/>
          <w:szCs w:val="19"/>
          <w:lang w:val="uk-UA"/>
        </w:rPr>
        <w:t xml:space="preserve"> </w:t>
      </w:r>
      <w:r w:rsidRPr="00B25B47">
        <w:rPr>
          <w:sz w:val="19"/>
          <w:szCs w:val="19"/>
          <w:lang w:val="uk-UA"/>
        </w:rPr>
        <w:t>за адресою: Україна, 43020, Волинська обл., м. Луцьк, вул. Рівненська, 145, каб. № 10, з наступним проектом порядку денного (переліком питань, що виносяться на голосування):</w:t>
      </w:r>
    </w:p>
    <w:p w:rsidR="002D2086" w:rsidRPr="00B25B47" w:rsidRDefault="002D2086" w:rsidP="00B25B47">
      <w:pPr>
        <w:numPr>
          <w:ilvl w:val="0"/>
          <w:numId w:val="15"/>
        </w:numPr>
        <w:tabs>
          <w:tab w:val="left" w:pos="426"/>
        </w:tabs>
        <w:suppressAutoHyphens w:val="0"/>
        <w:ind w:left="426" w:right="-28" w:hanging="426"/>
        <w:jc w:val="both"/>
        <w:rPr>
          <w:sz w:val="19"/>
          <w:szCs w:val="19"/>
          <w:lang w:val="uk-UA" w:eastAsia="uk-UA"/>
        </w:rPr>
      </w:pPr>
      <w:r w:rsidRPr="00B25B47">
        <w:rPr>
          <w:sz w:val="19"/>
          <w:szCs w:val="19"/>
          <w:lang w:val="uk-UA" w:eastAsia="uk-UA"/>
        </w:rPr>
        <w:t>Про обрання членів лічильної комісії річних Загальних зборів акціонерів Товариства.</w:t>
      </w:r>
    </w:p>
    <w:p w:rsidR="002D2086" w:rsidRPr="00B25B47" w:rsidRDefault="002D2086" w:rsidP="00B25B47">
      <w:pPr>
        <w:tabs>
          <w:tab w:val="left" w:pos="426"/>
        </w:tabs>
        <w:jc w:val="both"/>
        <w:rPr>
          <w:sz w:val="19"/>
          <w:szCs w:val="19"/>
          <w:u w:val="single"/>
          <w:lang w:val="uk-UA"/>
        </w:rPr>
      </w:pPr>
      <w:r w:rsidRPr="00B25B47">
        <w:rPr>
          <w:sz w:val="19"/>
          <w:szCs w:val="19"/>
          <w:lang w:val="uk-UA"/>
        </w:rPr>
        <w:tab/>
      </w:r>
      <w:r w:rsidRPr="00B25B47">
        <w:rPr>
          <w:sz w:val="19"/>
          <w:szCs w:val="19"/>
          <w:u w:val="single"/>
          <w:lang w:val="uk-UA"/>
        </w:rPr>
        <w:t>Проект рішення:</w:t>
      </w:r>
    </w:p>
    <w:p w:rsidR="002D2086" w:rsidRPr="00B25B47" w:rsidRDefault="002D2086" w:rsidP="00B25B47">
      <w:pPr>
        <w:pStyle w:val="a7"/>
        <w:numPr>
          <w:ilvl w:val="1"/>
          <w:numId w:val="5"/>
        </w:numPr>
        <w:suppressAutoHyphens/>
        <w:ind w:left="426" w:hanging="426"/>
        <w:rPr>
          <w:i w:val="0"/>
          <w:color w:val="000000"/>
          <w:sz w:val="19"/>
          <w:szCs w:val="19"/>
          <w:lang w:val="uk-UA"/>
        </w:rPr>
      </w:pPr>
      <w:r w:rsidRPr="00B25B47">
        <w:rPr>
          <w:i w:val="0"/>
          <w:color w:val="000000"/>
          <w:sz w:val="19"/>
          <w:szCs w:val="19"/>
          <w:lang w:val="uk-UA"/>
        </w:rPr>
        <w:t xml:space="preserve">Обрати лічильну комісію річних Загальних зборів акціонерів Товариства у наступному складі: </w:t>
      </w:r>
    </w:p>
    <w:p w:rsidR="002D2086" w:rsidRPr="00B25B47" w:rsidRDefault="002D2086" w:rsidP="00B25B47">
      <w:pPr>
        <w:pStyle w:val="a7"/>
        <w:rPr>
          <w:i w:val="0"/>
          <w:color w:val="000000"/>
          <w:sz w:val="19"/>
          <w:szCs w:val="19"/>
          <w:lang w:val="uk-UA"/>
        </w:rPr>
      </w:pPr>
      <w:r w:rsidRPr="00B25B47">
        <w:rPr>
          <w:i w:val="0"/>
          <w:color w:val="000000"/>
          <w:sz w:val="19"/>
          <w:szCs w:val="19"/>
          <w:lang w:val="uk-UA"/>
        </w:rPr>
        <w:t>Голова лічильної комісії Лебедюк Микита Савич;</w:t>
      </w:r>
    </w:p>
    <w:p w:rsidR="002D2086" w:rsidRPr="00B25B47" w:rsidRDefault="002D2086" w:rsidP="00B25B47">
      <w:pPr>
        <w:pStyle w:val="a7"/>
        <w:rPr>
          <w:i w:val="0"/>
          <w:color w:val="000000"/>
          <w:sz w:val="19"/>
          <w:szCs w:val="19"/>
          <w:lang w:val="uk-UA"/>
        </w:rPr>
      </w:pPr>
      <w:r w:rsidRPr="00B25B47">
        <w:rPr>
          <w:i w:val="0"/>
          <w:color w:val="000000"/>
          <w:sz w:val="19"/>
          <w:szCs w:val="19"/>
          <w:lang w:val="uk-UA"/>
        </w:rPr>
        <w:t>Член лічильної комісії Кец Галина Євстафіївна; Член лічильної комісії Сорока Олена Василівна.</w:t>
      </w:r>
    </w:p>
    <w:p w:rsidR="002D2086" w:rsidRPr="00B25B47" w:rsidRDefault="002D2086" w:rsidP="00B25B47">
      <w:pPr>
        <w:tabs>
          <w:tab w:val="left" w:pos="426"/>
        </w:tabs>
        <w:suppressAutoHyphens w:val="0"/>
        <w:ind w:right="-28"/>
        <w:jc w:val="both"/>
        <w:rPr>
          <w:sz w:val="19"/>
          <w:szCs w:val="19"/>
          <w:lang w:val="uk-UA" w:eastAsia="uk-UA"/>
        </w:rPr>
      </w:pPr>
    </w:p>
    <w:p w:rsidR="002D2086" w:rsidRPr="00B25B47" w:rsidRDefault="002D2086" w:rsidP="00B25B47">
      <w:pPr>
        <w:numPr>
          <w:ilvl w:val="0"/>
          <w:numId w:val="14"/>
        </w:numPr>
        <w:tabs>
          <w:tab w:val="left" w:pos="426"/>
        </w:tabs>
        <w:suppressAutoHyphens w:val="0"/>
        <w:ind w:left="426" w:right="-28" w:hanging="426"/>
        <w:jc w:val="both"/>
        <w:rPr>
          <w:sz w:val="19"/>
          <w:szCs w:val="19"/>
          <w:lang w:val="uk-UA" w:eastAsia="uk-UA"/>
        </w:rPr>
      </w:pPr>
      <w:r w:rsidRPr="00B25B47">
        <w:rPr>
          <w:sz w:val="19"/>
          <w:szCs w:val="19"/>
          <w:lang w:val="uk-UA" w:eastAsia="uk-UA"/>
        </w:rPr>
        <w:t>Про обрання Голови та секретаря річних Загальних Зборів акціонерів Товариства.</w:t>
      </w:r>
    </w:p>
    <w:p w:rsidR="002D2086" w:rsidRPr="00B25B47" w:rsidRDefault="002D2086" w:rsidP="00B25B47">
      <w:pPr>
        <w:tabs>
          <w:tab w:val="left" w:pos="426"/>
        </w:tabs>
        <w:ind w:left="426" w:hanging="426"/>
        <w:jc w:val="both"/>
        <w:rPr>
          <w:sz w:val="19"/>
          <w:szCs w:val="19"/>
          <w:u w:val="single"/>
          <w:lang w:val="uk-UA"/>
        </w:rPr>
      </w:pPr>
      <w:r w:rsidRPr="00B25B47">
        <w:rPr>
          <w:sz w:val="19"/>
          <w:szCs w:val="19"/>
          <w:lang w:val="uk-UA"/>
        </w:rPr>
        <w:tab/>
      </w:r>
      <w:r w:rsidRPr="00B25B47">
        <w:rPr>
          <w:sz w:val="19"/>
          <w:szCs w:val="19"/>
          <w:u w:val="single"/>
          <w:lang w:val="uk-UA"/>
        </w:rPr>
        <w:t>Проект рішення:</w:t>
      </w:r>
    </w:p>
    <w:p w:rsidR="002D2086" w:rsidRPr="00B25B47" w:rsidRDefault="002D2086" w:rsidP="00B25B47">
      <w:pPr>
        <w:pStyle w:val="2"/>
        <w:widowControl w:val="0"/>
        <w:tabs>
          <w:tab w:val="left" w:pos="426"/>
        </w:tabs>
        <w:autoSpaceDE w:val="0"/>
        <w:autoSpaceDN w:val="0"/>
        <w:spacing w:after="0" w:line="240" w:lineRule="auto"/>
        <w:ind w:left="426" w:hanging="426"/>
        <w:jc w:val="both"/>
        <w:rPr>
          <w:color w:val="000000"/>
          <w:sz w:val="19"/>
          <w:szCs w:val="19"/>
          <w:lang w:val="uk-UA"/>
        </w:rPr>
      </w:pPr>
      <w:r w:rsidRPr="00B25B47">
        <w:rPr>
          <w:rFonts w:cs="Calibri"/>
          <w:b/>
          <w:color w:val="000000"/>
          <w:sz w:val="19"/>
          <w:szCs w:val="19"/>
          <w:lang w:val="uk-UA" w:eastAsia="ar-SA"/>
        </w:rPr>
        <w:t>2.1.</w:t>
      </w:r>
      <w:r w:rsidRPr="00B25B47">
        <w:rPr>
          <w:rFonts w:cs="Calibri"/>
          <w:color w:val="000000"/>
          <w:sz w:val="19"/>
          <w:szCs w:val="19"/>
          <w:lang w:val="uk-UA" w:eastAsia="ar-SA"/>
        </w:rPr>
        <w:tab/>
      </w:r>
      <w:r w:rsidRPr="00B25B47">
        <w:rPr>
          <w:color w:val="000000"/>
          <w:sz w:val="19"/>
          <w:szCs w:val="19"/>
          <w:lang w:val="uk-UA"/>
        </w:rPr>
        <w:t>Обрати Головою річних Загальних Зборів акціонерів Товариства Склярова Володимира Олександровича.</w:t>
      </w:r>
    </w:p>
    <w:p w:rsidR="002D2086" w:rsidRPr="00B25B47" w:rsidRDefault="002D2086" w:rsidP="00B25B47">
      <w:pPr>
        <w:pStyle w:val="2"/>
        <w:widowControl w:val="0"/>
        <w:tabs>
          <w:tab w:val="left" w:pos="426"/>
        </w:tabs>
        <w:autoSpaceDE w:val="0"/>
        <w:autoSpaceDN w:val="0"/>
        <w:spacing w:after="0" w:line="240" w:lineRule="auto"/>
        <w:ind w:left="426" w:hanging="426"/>
        <w:jc w:val="both"/>
        <w:rPr>
          <w:color w:val="000000"/>
          <w:sz w:val="19"/>
          <w:szCs w:val="19"/>
          <w:lang w:val="uk-UA"/>
        </w:rPr>
      </w:pPr>
      <w:r w:rsidRPr="00B25B47">
        <w:rPr>
          <w:b/>
          <w:color w:val="000000"/>
          <w:sz w:val="19"/>
          <w:szCs w:val="19"/>
          <w:lang w:val="uk-UA"/>
        </w:rPr>
        <w:t>2.2.</w:t>
      </w:r>
      <w:r w:rsidRPr="00B25B47">
        <w:rPr>
          <w:color w:val="000000"/>
          <w:sz w:val="19"/>
          <w:szCs w:val="19"/>
          <w:lang w:val="uk-UA"/>
        </w:rPr>
        <w:tab/>
        <w:t xml:space="preserve">Обрати секретарем річних Загальних Зборів акціонерів Товариства Корольчука Юрія </w:t>
      </w:r>
      <w:r w:rsidR="00185AB3" w:rsidRPr="00B25B47">
        <w:rPr>
          <w:color w:val="000000"/>
          <w:sz w:val="19"/>
          <w:szCs w:val="19"/>
          <w:lang w:val="uk-UA"/>
        </w:rPr>
        <w:t>Юрійо</w:t>
      </w:r>
      <w:r w:rsidRPr="00B25B47">
        <w:rPr>
          <w:color w:val="000000"/>
          <w:sz w:val="19"/>
          <w:szCs w:val="19"/>
          <w:lang w:val="uk-UA"/>
        </w:rPr>
        <w:t>вича.</w:t>
      </w:r>
    </w:p>
    <w:p w:rsidR="002D2086" w:rsidRPr="00B25B47" w:rsidRDefault="002D2086" w:rsidP="00B25B47">
      <w:pPr>
        <w:tabs>
          <w:tab w:val="left" w:pos="426"/>
        </w:tabs>
        <w:suppressAutoHyphens w:val="0"/>
        <w:ind w:right="-28"/>
        <w:jc w:val="both"/>
        <w:rPr>
          <w:sz w:val="19"/>
          <w:szCs w:val="19"/>
          <w:lang w:val="uk-UA" w:eastAsia="uk-UA"/>
        </w:rPr>
      </w:pPr>
      <w:bookmarkStart w:id="0" w:name="_GoBack"/>
      <w:bookmarkEnd w:id="0"/>
    </w:p>
    <w:p w:rsidR="002D2086" w:rsidRPr="00B25B47" w:rsidRDefault="002D2086" w:rsidP="00B25B47">
      <w:pPr>
        <w:numPr>
          <w:ilvl w:val="0"/>
          <w:numId w:val="14"/>
        </w:numPr>
        <w:tabs>
          <w:tab w:val="left" w:pos="426"/>
        </w:tabs>
        <w:suppressAutoHyphens w:val="0"/>
        <w:ind w:left="426" w:right="-28" w:hanging="426"/>
        <w:jc w:val="both"/>
        <w:rPr>
          <w:sz w:val="19"/>
          <w:szCs w:val="19"/>
          <w:lang w:val="uk-UA" w:eastAsia="uk-UA"/>
        </w:rPr>
      </w:pPr>
      <w:r w:rsidRPr="00B25B47">
        <w:rPr>
          <w:sz w:val="19"/>
          <w:szCs w:val="19"/>
          <w:lang w:val="uk-UA" w:eastAsia="uk-UA"/>
        </w:rPr>
        <w:t>Про затвердження регламенту роботи річних Загальних зборів акціонерів Товариства.</w:t>
      </w:r>
    </w:p>
    <w:p w:rsidR="002D2086" w:rsidRPr="00B25B47" w:rsidRDefault="002D2086" w:rsidP="00B25B47">
      <w:pPr>
        <w:tabs>
          <w:tab w:val="left" w:pos="426"/>
        </w:tabs>
        <w:suppressAutoHyphens w:val="0"/>
        <w:ind w:right="-28"/>
        <w:jc w:val="both"/>
        <w:rPr>
          <w:sz w:val="19"/>
          <w:szCs w:val="19"/>
          <w:u w:val="single"/>
          <w:lang w:val="uk-UA" w:eastAsia="uk-UA"/>
        </w:rPr>
      </w:pPr>
      <w:r w:rsidRPr="00B25B47">
        <w:rPr>
          <w:sz w:val="19"/>
          <w:szCs w:val="19"/>
          <w:lang w:val="uk-UA" w:eastAsia="uk-UA"/>
        </w:rPr>
        <w:tab/>
      </w:r>
      <w:r w:rsidRPr="00B25B47">
        <w:rPr>
          <w:sz w:val="19"/>
          <w:szCs w:val="19"/>
          <w:u w:val="single"/>
          <w:lang w:val="uk-UA" w:eastAsia="uk-UA"/>
        </w:rPr>
        <w:t>Проект рішення:</w:t>
      </w:r>
    </w:p>
    <w:p w:rsidR="002D2086" w:rsidRPr="00B25B47" w:rsidRDefault="002D2086" w:rsidP="00B25B47">
      <w:pPr>
        <w:tabs>
          <w:tab w:val="left" w:pos="426"/>
        </w:tabs>
        <w:suppressAutoHyphens w:val="0"/>
        <w:ind w:right="-28"/>
        <w:jc w:val="both"/>
        <w:rPr>
          <w:sz w:val="19"/>
          <w:szCs w:val="19"/>
          <w:lang w:val="uk-UA" w:eastAsia="uk-UA"/>
        </w:rPr>
      </w:pPr>
      <w:r w:rsidRPr="00B25B47">
        <w:rPr>
          <w:b/>
          <w:sz w:val="19"/>
          <w:szCs w:val="19"/>
          <w:lang w:val="uk-UA" w:eastAsia="uk-UA"/>
        </w:rPr>
        <w:t>3.1.</w:t>
      </w:r>
      <w:r w:rsidRPr="00B25B47">
        <w:rPr>
          <w:sz w:val="19"/>
          <w:szCs w:val="19"/>
          <w:lang w:val="uk-UA" w:eastAsia="uk-UA"/>
        </w:rPr>
        <w:tab/>
        <w:t>Затвердити наступний регламент роботи Зборів:</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Голова Зборів послідовно виносить на розгляд питання порядку денного Зборів;</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Слово для виступу з доповіддю надається Головою Зборів;</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Час для виступу з доповіддю щодо кожного питання порядку денного Зборів – до 15 хвилин;</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Голова Зборів оголошує проекти рішень з питань порядку денного, затверджені Наглядовою Радою Товариства;</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Голосування проводиться з використанням бюлетенів для голосування;</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Свою згоду або не згоду з рішенням Зборів акціонери (їх представники) виражають шляхом зазначення відмітки у відповідній клітинці бюлетеня для голосування;</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Результати голосування підраховуються лічильною комісією та оформлюються протоколами лічильної комісії по кожному питанню порядку денного Зборів окремо. Результати голосування з кожного питання порядку денного Зборів оголошуються після їх підрахунку, але до завершення Зборів;</w:t>
      </w:r>
    </w:p>
    <w:p w:rsidR="002D2086" w:rsidRPr="00B25B47" w:rsidRDefault="002D2086" w:rsidP="00B25B47">
      <w:pPr>
        <w:pStyle w:val="a6"/>
        <w:numPr>
          <w:ilvl w:val="0"/>
          <w:numId w:val="17"/>
        </w:numPr>
        <w:tabs>
          <w:tab w:val="left" w:pos="426"/>
        </w:tabs>
        <w:ind w:left="426" w:right="-28" w:hanging="142"/>
        <w:jc w:val="both"/>
        <w:rPr>
          <w:sz w:val="19"/>
          <w:szCs w:val="19"/>
        </w:rPr>
      </w:pPr>
      <w:r w:rsidRPr="00B25B47">
        <w:rPr>
          <w:sz w:val="19"/>
          <w:szCs w:val="19"/>
        </w:rPr>
        <w:t>Збори виконують свою роботу до закінчення розгляду усіх питань порядку денного Зборів.</w:t>
      </w:r>
    </w:p>
    <w:p w:rsidR="002D2086" w:rsidRPr="00B25B47" w:rsidRDefault="002D2086" w:rsidP="00B25B47">
      <w:pPr>
        <w:tabs>
          <w:tab w:val="left" w:pos="426"/>
        </w:tabs>
        <w:suppressAutoHyphens w:val="0"/>
        <w:ind w:right="-28"/>
        <w:jc w:val="both"/>
        <w:rPr>
          <w:sz w:val="19"/>
          <w:szCs w:val="19"/>
          <w:lang w:val="uk-UA" w:eastAsia="uk-UA"/>
        </w:rPr>
      </w:pPr>
    </w:p>
    <w:p w:rsidR="00B25B47" w:rsidRPr="00B25B47" w:rsidRDefault="00B25B47" w:rsidP="00B25B47">
      <w:pPr>
        <w:numPr>
          <w:ilvl w:val="0"/>
          <w:numId w:val="14"/>
        </w:numPr>
        <w:tabs>
          <w:tab w:val="left" w:pos="426"/>
        </w:tabs>
        <w:suppressAutoHyphens w:val="0"/>
        <w:ind w:left="426" w:right="-28" w:hanging="426"/>
        <w:jc w:val="both"/>
        <w:rPr>
          <w:rFonts w:cs="Times New Roman"/>
          <w:sz w:val="19"/>
          <w:szCs w:val="19"/>
          <w:lang w:val="uk-UA" w:eastAsia="uk-UA"/>
        </w:rPr>
      </w:pPr>
      <w:r w:rsidRPr="00B25B47">
        <w:rPr>
          <w:rFonts w:cs="Times New Roman"/>
          <w:sz w:val="19"/>
          <w:szCs w:val="19"/>
          <w:lang w:val="uk-UA" w:eastAsia="uk-UA"/>
        </w:rPr>
        <w:t xml:space="preserve">Про розгляд звіту Наглядової Ради Товариства за 2020 рік, затвердження заходів за результатами його розгляду та прийняття рішення </w:t>
      </w:r>
      <w:r w:rsidRPr="00B25B47">
        <w:rPr>
          <w:rFonts w:cs="Times New Roman"/>
          <w:sz w:val="19"/>
          <w:szCs w:val="19"/>
          <w:lang w:eastAsia="uk-UA"/>
        </w:rPr>
        <w:t xml:space="preserve">за наслідками розгляду </w:t>
      </w:r>
      <w:r w:rsidRPr="00B25B47">
        <w:rPr>
          <w:rFonts w:cs="Times New Roman"/>
          <w:sz w:val="19"/>
          <w:szCs w:val="19"/>
          <w:lang w:val="uk-UA" w:eastAsia="uk-UA"/>
        </w:rPr>
        <w:t>з</w:t>
      </w:r>
      <w:r w:rsidRPr="00B25B47">
        <w:rPr>
          <w:rFonts w:cs="Times New Roman"/>
          <w:sz w:val="19"/>
          <w:szCs w:val="19"/>
          <w:lang w:eastAsia="uk-UA"/>
        </w:rPr>
        <w:t xml:space="preserve">віту Наглядової </w:t>
      </w:r>
      <w:r w:rsidRPr="00B25B47">
        <w:rPr>
          <w:rFonts w:cs="Times New Roman"/>
          <w:sz w:val="19"/>
          <w:szCs w:val="19"/>
          <w:lang w:val="uk-UA" w:eastAsia="uk-UA"/>
        </w:rPr>
        <w:t>Р</w:t>
      </w:r>
      <w:r w:rsidRPr="00B25B47">
        <w:rPr>
          <w:rFonts w:cs="Times New Roman"/>
          <w:sz w:val="19"/>
          <w:szCs w:val="19"/>
          <w:lang w:eastAsia="uk-UA"/>
        </w:rPr>
        <w:t>ади</w:t>
      </w:r>
      <w:r w:rsidRPr="00B25B47">
        <w:rPr>
          <w:rFonts w:cs="Times New Roman"/>
          <w:sz w:val="19"/>
          <w:szCs w:val="19"/>
          <w:lang w:val="uk-UA" w:eastAsia="uk-UA"/>
        </w:rPr>
        <w:t>.</w:t>
      </w:r>
    </w:p>
    <w:p w:rsidR="00B25B47" w:rsidRPr="00B25B47" w:rsidRDefault="00B25B47" w:rsidP="00B25B47">
      <w:pPr>
        <w:tabs>
          <w:tab w:val="left" w:pos="426"/>
        </w:tabs>
        <w:ind w:right="-28"/>
        <w:jc w:val="both"/>
        <w:rPr>
          <w:rFonts w:cs="Times New Roman"/>
          <w:sz w:val="19"/>
          <w:szCs w:val="19"/>
          <w:u w:val="single"/>
          <w:lang w:val="uk-UA"/>
        </w:rPr>
      </w:pPr>
      <w:r w:rsidRPr="00B25B47">
        <w:rPr>
          <w:rFonts w:cs="Times New Roman"/>
          <w:sz w:val="19"/>
          <w:szCs w:val="19"/>
          <w:lang w:val="uk-UA"/>
        </w:rPr>
        <w:tab/>
      </w:r>
      <w:r w:rsidRPr="00B25B47">
        <w:rPr>
          <w:rFonts w:cs="Times New Roman"/>
          <w:sz w:val="19"/>
          <w:szCs w:val="19"/>
          <w:u w:val="single"/>
          <w:lang w:val="uk-UA"/>
        </w:rPr>
        <w:t>Проект рішення:</w:t>
      </w:r>
    </w:p>
    <w:p w:rsidR="00B25B47" w:rsidRPr="00B25B47" w:rsidRDefault="00B25B47" w:rsidP="00B25B47">
      <w:pPr>
        <w:pStyle w:val="a6"/>
        <w:numPr>
          <w:ilvl w:val="1"/>
          <w:numId w:val="14"/>
        </w:numPr>
        <w:ind w:left="426" w:hanging="426"/>
        <w:jc w:val="both"/>
        <w:rPr>
          <w:sz w:val="19"/>
          <w:szCs w:val="19"/>
        </w:rPr>
      </w:pPr>
      <w:r w:rsidRPr="00B25B47">
        <w:rPr>
          <w:sz w:val="19"/>
          <w:szCs w:val="19"/>
        </w:rPr>
        <w:t>Затвердити звіт Наглядової Ради Товариства за 2020 рік.</w:t>
      </w:r>
    </w:p>
    <w:p w:rsidR="00B25B47" w:rsidRPr="00B25B47" w:rsidRDefault="00B25B47" w:rsidP="00B25B47">
      <w:pPr>
        <w:pStyle w:val="a6"/>
        <w:numPr>
          <w:ilvl w:val="1"/>
          <w:numId w:val="14"/>
        </w:numPr>
        <w:ind w:left="426" w:hanging="426"/>
        <w:jc w:val="both"/>
        <w:rPr>
          <w:sz w:val="19"/>
          <w:szCs w:val="19"/>
        </w:rPr>
      </w:pPr>
      <w:r w:rsidRPr="00B25B47">
        <w:rPr>
          <w:sz w:val="19"/>
          <w:szCs w:val="19"/>
        </w:rPr>
        <w:t>Роботу Наглядової Ради Товариства у звітному періоді визнати задовільною, без зауважень та  додаткових заходів.</w:t>
      </w:r>
    </w:p>
    <w:p w:rsidR="002D2086" w:rsidRPr="00B25B47" w:rsidRDefault="002D2086" w:rsidP="00B25B47">
      <w:pPr>
        <w:tabs>
          <w:tab w:val="left" w:pos="426"/>
        </w:tabs>
        <w:suppressAutoHyphens w:val="0"/>
        <w:ind w:right="-28"/>
        <w:jc w:val="both"/>
        <w:rPr>
          <w:sz w:val="19"/>
          <w:szCs w:val="19"/>
          <w:lang w:val="uk-UA" w:eastAsia="uk-UA"/>
        </w:rPr>
      </w:pPr>
    </w:p>
    <w:p w:rsidR="002D2086" w:rsidRPr="00B25B47" w:rsidRDefault="002D2086" w:rsidP="00B25B47">
      <w:pPr>
        <w:numPr>
          <w:ilvl w:val="0"/>
          <w:numId w:val="14"/>
        </w:numPr>
        <w:tabs>
          <w:tab w:val="left" w:pos="426"/>
        </w:tabs>
        <w:suppressAutoHyphens w:val="0"/>
        <w:ind w:left="426" w:right="-28" w:hanging="426"/>
        <w:jc w:val="both"/>
        <w:rPr>
          <w:sz w:val="19"/>
          <w:szCs w:val="19"/>
          <w:lang w:val="uk-UA" w:eastAsia="uk-UA"/>
        </w:rPr>
      </w:pPr>
      <w:r w:rsidRPr="00B25B47">
        <w:rPr>
          <w:sz w:val="19"/>
          <w:szCs w:val="19"/>
          <w:lang w:val="uk-UA" w:eastAsia="uk-UA"/>
        </w:rPr>
        <w:t>Про затвердження річного звіту Товариства, у тому числі фінансової звітності Товариства за 20</w:t>
      </w:r>
      <w:r w:rsidR="00B109FB" w:rsidRPr="00B25B47">
        <w:rPr>
          <w:sz w:val="19"/>
          <w:szCs w:val="19"/>
          <w:lang w:val="uk-UA" w:eastAsia="uk-UA"/>
        </w:rPr>
        <w:t>20</w:t>
      </w:r>
      <w:r w:rsidRPr="00B25B47">
        <w:rPr>
          <w:sz w:val="19"/>
          <w:szCs w:val="19"/>
          <w:lang w:val="uk-UA" w:eastAsia="uk-UA"/>
        </w:rPr>
        <w:t xml:space="preserve"> рік.</w:t>
      </w:r>
    </w:p>
    <w:p w:rsidR="002D2086" w:rsidRPr="00B25B47" w:rsidRDefault="002D2086" w:rsidP="00B25B47">
      <w:pPr>
        <w:ind w:firstLine="426"/>
        <w:jc w:val="both"/>
        <w:rPr>
          <w:sz w:val="19"/>
          <w:szCs w:val="19"/>
          <w:u w:val="single"/>
          <w:lang w:val="uk-UA"/>
        </w:rPr>
      </w:pPr>
      <w:r w:rsidRPr="00B25B47">
        <w:rPr>
          <w:sz w:val="19"/>
          <w:szCs w:val="19"/>
          <w:u w:val="single"/>
          <w:lang w:val="uk-UA"/>
        </w:rPr>
        <w:t>Проект рішення:</w:t>
      </w:r>
    </w:p>
    <w:p w:rsidR="002D2086" w:rsidRPr="00B25B47" w:rsidRDefault="002D2086" w:rsidP="00B25B47">
      <w:pPr>
        <w:pStyle w:val="a6"/>
        <w:ind w:left="426" w:hanging="426"/>
        <w:jc w:val="both"/>
        <w:rPr>
          <w:sz w:val="19"/>
          <w:szCs w:val="19"/>
        </w:rPr>
      </w:pPr>
      <w:r w:rsidRPr="00B25B47">
        <w:rPr>
          <w:b/>
          <w:sz w:val="19"/>
          <w:szCs w:val="19"/>
        </w:rPr>
        <w:t>5.1.</w:t>
      </w:r>
      <w:r w:rsidRPr="00B25B47">
        <w:rPr>
          <w:sz w:val="19"/>
          <w:szCs w:val="19"/>
        </w:rPr>
        <w:tab/>
        <w:t xml:space="preserve">Затвердити річний звіт Товариства, у тому числі фінансову звітність Товариства за </w:t>
      </w:r>
      <w:r w:rsidR="00B109FB" w:rsidRPr="00B25B47">
        <w:rPr>
          <w:sz w:val="19"/>
          <w:szCs w:val="19"/>
        </w:rPr>
        <w:t>2020</w:t>
      </w:r>
      <w:r w:rsidRPr="00B25B47">
        <w:rPr>
          <w:sz w:val="19"/>
          <w:szCs w:val="19"/>
        </w:rPr>
        <w:t xml:space="preserve"> рік у складі: </w:t>
      </w:r>
    </w:p>
    <w:p w:rsidR="002D2086" w:rsidRPr="00B25B47" w:rsidRDefault="002D2086" w:rsidP="00B25B47">
      <w:pPr>
        <w:numPr>
          <w:ilvl w:val="0"/>
          <w:numId w:val="11"/>
        </w:numPr>
        <w:suppressAutoHyphens w:val="0"/>
        <w:ind w:left="425" w:hanging="142"/>
        <w:jc w:val="both"/>
        <w:rPr>
          <w:rFonts w:cs="Times New Roman"/>
          <w:sz w:val="19"/>
          <w:szCs w:val="19"/>
          <w:lang w:val="uk-UA"/>
        </w:rPr>
      </w:pPr>
      <w:r w:rsidRPr="00B25B47">
        <w:rPr>
          <w:rFonts w:cs="Times New Roman"/>
          <w:sz w:val="19"/>
          <w:szCs w:val="19"/>
          <w:lang w:val="uk-UA"/>
        </w:rPr>
        <w:t>Балансу Товариства станом на 31.12.</w:t>
      </w:r>
      <w:r w:rsidR="00B109FB" w:rsidRPr="00B25B47">
        <w:rPr>
          <w:rFonts w:cs="Times New Roman"/>
          <w:sz w:val="19"/>
          <w:szCs w:val="19"/>
          <w:lang w:val="uk-UA"/>
        </w:rPr>
        <w:t>2020</w:t>
      </w:r>
      <w:r w:rsidRPr="00B25B47">
        <w:rPr>
          <w:rFonts w:cs="Times New Roman"/>
          <w:sz w:val="19"/>
          <w:szCs w:val="19"/>
          <w:lang w:val="uk-UA"/>
        </w:rPr>
        <w:t xml:space="preserve"> року;</w:t>
      </w:r>
    </w:p>
    <w:p w:rsidR="002D2086" w:rsidRPr="00B25B47" w:rsidRDefault="002D2086" w:rsidP="00B25B47">
      <w:pPr>
        <w:numPr>
          <w:ilvl w:val="0"/>
          <w:numId w:val="11"/>
        </w:numPr>
        <w:suppressAutoHyphens w:val="0"/>
        <w:ind w:left="425" w:hanging="142"/>
        <w:jc w:val="both"/>
        <w:rPr>
          <w:rFonts w:cs="Times New Roman"/>
          <w:sz w:val="19"/>
          <w:szCs w:val="19"/>
          <w:lang w:val="uk-UA"/>
        </w:rPr>
      </w:pPr>
      <w:r w:rsidRPr="00B25B47">
        <w:rPr>
          <w:rFonts w:cs="Times New Roman"/>
          <w:sz w:val="19"/>
          <w:szCs w:val="19"/>
          <w:lang w:val="uk-UA"/>
        </w:rPr>
        <w:t xml:space="preserve">Звіту про фінансові результати Товариства за </w:t>
      </w:r>
      <w:r w:rsidR="00B109FB" w:rsidRPr="00B25B47">
        <w:rPr>
          <w:rFonts w:cs="Times New Roman"/>
          <w:sz w:val="19"/>
          <w:szCs w:val="19"/>
          <w:lang w:val="uk-UA"/>
        </w:rPr>
        <w:t>2020</w:t>
      </w:r>
      <w:r w:rsidRPr="00B25B47">
        <w:rPr>
          <w:rFonts w:cs="Times New Roman"/>
          <w:sz w:val="19"/>
          <w:szCs w:val="19"/>
          <w:lang w:val="uk-UA"/>
        </w:rPr>
        <w:t xml:space="preserve"> рік;</w:t>
      </w:r>
    </w:p>
    <w:p w:rsidR="002D2086" w:rsidRPr="00B25B47" w:rsidRDefault="002D2086" w:rsidP="00B25B47">
      <w:pPr>
        <w:numPr>
          <w:ilvl w:val="0"/>
          <w:numId w:val="11"/>
        </w:numPr>
        <w:suppressAutoHyphens w:val="0"/>
        <w:ind w:left="425" w:hanging="142"/>
        <w:jc w:val="both"/>
        <w:rPr>
          <w:rFonts w:cs="Times New Roman"/>
          <w:sz w:val="19"/>
          <w:szCs w:val="19"/>
          <w:lang w:val="uk-UA"/>
        </w:rPr>
      </w:pPr>
      <w:r w:rsidRPr="00B25B47">
        <w:rPr>
          <w:rFonts w:cs="Times New Roman"/>
          <w:sz w:val="19"/>
          <w:szCs w:val="19"/>
          <w:lang w:val="uk-UA"/>
        </w:rPr>
        <w:t xml:space="preserve">Звіту про рух грошових коштів за </w:t>
      </w:r>
      <w:r w:rsidR="00B109FB" w:rsidRPr="00B25B47">
        <w:rPr>
          <w:rFonts w:cs="Times New Roman"/>
          <w:sz w:val="19"/>
          <w:szCs w:val="19"/>
          <w:lang w:val="uk-UA"/>
        </w:rPr>
        <w:t>2020</w:t>
      </w:r>
      <w:r w:rsidRPr="00B25B47">
        <w:rPr>
          <w:rFonts w:cs="Times New Roman"/>
          <w:sz w:val="19"/>
          <w:szCs w:val="19"/>
          <w:lang w:val="uk-UA"/>
        </w:rPr>
        <w:t xml:space="preserve"> рік;</w:t>
      </w:r>
    </w:p>
    <w:p w:rsidR="002D2086" w:rsidRPr="00B25B47" w:rsidRDefault="002D2086" w:rsidP="00B25B47">
      <w:pPr>
        <w:numPr>
          <w:ilvl w:val="0"/>
          <w:numId w:val="11"/>
        </w:numPr>
        <w:suppressAutoHyphens w:val="0"/>
        <w:ind w:left="425" w:hanging="142"/>
        <w:jc w:val="both"/>
        <w:rPr>
          <w:rFonts w:cs="Times New Roman"/>
          <w:sz w:val="19"/>
          <w:szCs w:val="19"/>
          <w:lang w:val="uk-UA"/>
        </w:rPr>
      </w:pPr>
      <w:r w:rsidRPr="00B25B47">
        <w:rPr>
          <w:rFonts w:cs="Times New Roman"/>
          <w:sz w:val="19"/>
          <w:szCs w:val="19"/>
          <w:lang w:val="uk-UA"/>
        </w:rPr>
        <w:t xml:space="preserve">Звіту про власний капітал за </w:t>
      </w:r>
      <w:r w:rsidR="00B109FB" w:rsidRPr="00B25B47">
        <w:rPr>
          <w:rFonts w:cs="Times New Roman"/>
          <w:sz w:val="19"/>
          <w:szCs w:val="19"/>
          <w:lang w:val="uk-UA"/>
        </w:rPr>
        <w:t>2020</w:t>
      </w:r>
      <w:r w:rsidRPr="00B25B47">
        <w:rPr>
          <w:rFonts w:cs="Times New Roman"/>
          <w:sz w:val="19"/>
          <w:szCs w:val="19"/>
          <w:lang w:val="uk-UA"/>
        </w:rPr>
        <w:t xml:space="preserve"> рік;</w:t>
      </w:r>
    </w:p>
    <w:p w:rsidR="002D2086" w:rsidRPr="00B25B47" w:rsidRDefault="002D2086" w:rsidP="00B25B47">
      <w:pPr>
        <w:numPr>
          <w:ilvl w:val="0"/>
          <w:numId w:val="11"/>
        </w:numPr>
        <w:suppressAutoHyphens w:val="0"/>
        <w:ind w:left="425" w:hanging="142"/>
        <w:jc w:val="both"/>
        <w:rPr>
          <w:rFonts w:cs="Times New Roman"/>
          <w:sz w:val="19"/>
          <w:szCs w:val="19"/>
          <w:lang w:val="uk-UA"/>
        </w:rPr>
      </w:pPr>
      <w:r w:rsidRPr="00B25B47">
        <w:rPr>
          <w:rFonts w:cs="Times New Roman"/>
          <w:sz w:val="19"/>
          <w:szCs w:val="19"/>
          <w:lang w:val="uk-UA"/>
        </w:rPr>
        <w:t xml:space="preserve">Приміток до фінансової звітності за </w:t>
      </w:r>
      <w:r w:rsidR="00B109FB" w:rsidRPr="00B25B47">
        <w:rPr>
          <w:rFonts w:cs="Times New Roman"/>
          <w:sz w:val="19"/>
          <w:szCs w:val="19"/>
          <w:lang w:val="uk-UA"/>
        </w:rPr>
        <w:t>2020</w:t>
      </w:r>
      <w:r w:rsidRPr="00B25B47">
        <w:rPr>
          <w:rFonts w:cs="Times New Roman"/>
          <w:sz w:val="19"/>
          <w:szCs w:val="19"/>
          <w:lang w:val="uk-UA"/>
        </w:rPr>
        <w:t xml:space="preserve"> рік. </w:t>
      </w:r>
    </w:p>
    <w:p w:rsidR="002D2086" w:rsidRPr="00B25B47" w:rsidRDefault="002D2086" w:rsidP="00B25B47">
      <w:pPr>
        <w:ind w:left="568" w:hanging="568"/>
        <w:jc w:val="both"/>
        <w:rPr>
          <w:sz w:val="19"/>
          <w:szCs w:val="19"/>
          <w:lang w:val="uk-UA"/>
        </w:rPr>
      </w:pPr>
    </w:p>
    <w:p w:rsidR="002D2086" w:rsidRPr="00B25B47" w:rsidRDefault="002D2086" w:rsidP="00B25B47">
      <w:pPr>
        <w:numPr>
          <w:ilvl w:val="0"/>
          <w:numId w:val="14"/>
        </w:numPr>
        <w:tabs>
          <w:tab w:val="left" w:pos="426"/>
        </w:tabs>
        <w:suppressAutoHyphens w:val="0"/>
        <w:ind w:left="426" w:right="-28" w:hanging="426"/>
        <w:jc w:val="both"/>
        <w:rPr>
          <w:sz w:val="19"/>
          <w:szCs w:val="19"/>
          <w:lang w:val="uk-UA" w:eastAsia="uk-UA"/>
        </w:rPr>
      </w:pPr>
      <w:r w:rsidRPr="00B25B47">
        <w:rPr>
          <w:sz w:val="19"/>
          <w:szCs w:val="19"/>
          <w:lang w:val="uk-UA" w:eastAsia="uk-UA"/>
        </w:rPr>
        <w:t xml:space="preserve">Про розподіл прибутку (визначення порядку покриття збитків) за підсумками діяльності Товариства у </w:t>
      </w:r>
      <w:r w:rsidR="00B109FB" w:rsidRPr="00B25B47">
        <w:rPr>
          <w:sz w:val="19"/>
          <w:szCs w:val="19"/>
          <w:lang w:val="uk-UA" w:eastAsia="uk-UA"/>
        </w:rPr>
        <w:t>2020</w:t>
      </w:r>
      <w:r w:rsidRPr="00B25B47">
        <w:rPr>
          <w:sz w:val="19"/>
          <w:szCs w:val="19"/>
          <w:lang w:val="uk-UA" w:eastAsia="uk-UA"/>
        </w:rPr>
        <w:t xml:space="preserve"> році.</w:t>
      </w:r>
    </w:p>
    <w:p w:rsidR="002D2086" w:rsidRPr="00B25B47" w:rsidRDefault="002D2086" w:rsidP="00B25B47">
      <w:pPr>
        <w:ind w:firstLine="426"/>
        <w:jc w:val="both"/>
        <w:rPr>
          <w:sz w:val="19"/>
          <w:szCs w:val="19"/>
          <w:u w:val="single"/>
          <w:lang w:val="uk-UA"/>
        </w:rPr>
      </w:pPr>
      <w:r w:rsidRPr="00B25B47">
        <w:rPr>
          <w:sz w:val="19"/>
          <w:szCs w:val="19"/>
          <w:u w:val="single"/>
          <w:lang w:val="uk-UA"/>
        </w:rPr>
        <w:t>Проект рішення:</w:t>
      </w:r>
    </w:p>
    <w:p w:rsidR="00B25B47" w:rsidRPr="00B25B47" w:rsidRDefault="00B25B47" w:rsidP="00B25B47">
      <w:pPr>
        <w:ind w:left="426" w:hanging="426"/>
        <w:jc w:val="both"/>
        <w:rPr>
          <w:rFonts w:cs="Times New Roman"/>
          <w:sz w:val="19"/>
          <w:szCs w:val="19"/>
          <w:lang w:val="uk-UA" w:eastAsia="uk-UA"/>
        </w:rPr>
      </w:pPr>
      <w:r w:rsidRPr="00B25B47">
        <w:rPr>
          <w:rFonts w:cs="Times New Roman"/>
          <w:b/>
          <w:sz w:val="19"/>
          <w:szCs w:val="19"/>
          <w:lang w:val="uk-UA" w:eastAsia="uk-UA"/>
        </w:rPr>
        <w:t>6.1.</w:t>
      </w:r>
      <w:r w:rsidRPr="00B25B47">
        <w:rPr>
          <w:rFonts w:cs="Times New Roman"/>
          <w:sz w:val="19"/>
          <w:szCs w:val="19"/>
          <w:lang w:val="uk-UA" w:eastAsia="uk-UA"/>
        </w:rPr>
        <w:tab/>
        <w:t>Затвердити наступний порядок розподілу прибутку за підсумками діяльності Товариства у 2020 році:</w:t>
      </w:r>
    </w:p>
    <w:p w:rsidR="00B25B47" w:rsidRPr="00B25B47" w:rsidRDefault="00B25B47" w:rsidP="00B25B47">
      <w:pPr>
        <w:ind w:left="426" w:hanging="426"/>
        <w:jc w:val="both"/>
        <w:rPr>
          <w:rFonts w:cs="Times New Roman"/>
          <w:sz w:val="19"/>
          <w:szCs w:val="19"/>
          <w:lang w:val="uk-UA" w:eastAsia="uk-UA"/>
        </w:rPr>
      </w:pPr>
      <w:r w:rsidRPr="00B25B47">
        <w:rPr>
          <w:rFonts w:cs="Times New Roman"/>
          <w:sz w:val="19"/>
          <w:szCs w:val="19"/>
          <w:lang w:val="uk-UA" w:eastAsia="uk-UA"/>
        </w:rPr>
        <w:tab/>
        <w:t xml:space="preserve">Чистий прибуток Товариства, що складає 1 248 тис. грн., направити: </w:t>
      </w:r>
    </w:p>
    <w:p w:rsidR="00B25B47" w:rsidRPr="00B25B47" w:rsidRDefault="00B25B47" w:rsidP="00B25B47">
      <w:pPr>
        <w:ind w:left="426" w:hanging="142"/>
        <w:jc w:val="both"/>
        <w:rPr>
          <w:rFonts w:cs="Times New Roman"/>
          <w:sz w:val="19"/>
          <w:szCs w:val="19"/>
          <w:lang w:val="uk-UA" w:eastAsia="uk-UA"/>
        </w:rPr>
      </w:pPr>
      <w:r w:rsidRPr="00B25B47">
        <w:rPr>
          <w:rFonts w:cs="Times New Roman"/>
          <w:sz w:val="19"/>
          <w:szCs w:val="19"/>
          <w:lang w:val="uk-UA" w:eastAsia="uk-UA"/>
        </w:rPr>
        <w:t>-</w:t>
      </w:r>
      <w:r w:rsidRPr="00B25B47">
        <w:rPr>
          <w:rFonts w:cs="Times New Roman"/>
          <w:sz w:val="19"/>
          <w:szCs w:val="19"/>
          <w:lang w:val="uk-UA" w:eastAsia="uk-UA"/>
        </w:rPr>
        <w:tab/>
        <w:t>до резервного фонду Товариства у  розмірі 5% від чистого прибутку Товариства, що складає 62 тис. грн;</w:t>
      </w:r>
    </w:p>
    <w:p w:rsidR="00B25B47" w:rsidRPr="00B25B47" w:rsidRDefault="00B25B47" w:rsidP="00B25B47">
      <w:pPr>
        <w:ind w:left="426" w:hanging="142"/>
        <w:jc w:val="both"/>
        <w:rPr>
          <w:rFonts w:cs="Times New Roman"/>
          <w:sz w:val="19"/>
          <w:szCs w:val="19"/>
          <w:lang w:val="uk-UA" w:eastAsia="uk-UA"/>
        </w:rPr>
      </w:pPr>
      <w:r w:rsidRPr="00B25B47">
        <w:rPr>
          <w:rFonts w:cs="Times New Roman"/>
          <w:sz w:val="19"/>
          <w:szCs w:val="19"/>
          <w:lang w:val="uk-UA" w:eastAsia="uk-UA"/>
        </w:rPr>
        <w:t>-</w:t>
      </w:r>
      <w:r w:rsidRPr="00B25B47">
        <w:rPr>
          <w:rFonts w:cs="Times New Roman"/>
          <w:sz w:val="19"/>
          <w:szCs w:val="19"/>
          <w:lang w:val="uk-UA" w:eastAsia="uk-UA"/>
        </w:rPr>
        <w:tab/>
        <w:t>чистий прибуток Товариства у сумі 1 186 тис. грн. залишити нерозподіленим.</w:t>
      </w:r>
    </w:p>
    <w:p w:rsidR="00615629" w:rsidRPr="00B25B47" w:rsidRDefault="00B25B47" w:rsidP="00B25B47">
      <w:pPr>
        <w:ind w:left="426" w:hanging="426"/>
        <w:jc w:val="both"/>
        <w:rPr>
          <w:rFonts w:cs="Times New Roman"/>
          <w:sz w:val="19"/>
          <w:szCs w:val="19"/>
          <w:lang w:val="uk-UA" w:eastAsia="uk-UA"/>
        </w:rPr>
      </w:pPr>
      <w:r w:rsidRPr="00B25B47">
        <w:rPr>
          <w:rFonts w:cs="Times New Roman"/>
          <w:b/>
          <w:sz w:val="19"/>
          <w:szCs w:val="19"/>
          <w:lang w:val="uk-UA" w:eastAsia="uk-UA"/>
        </w:rPr>
        <w:t>6.2.</w:t>
      </w:r>
      <w:r w:rsidRPr="00B25B47">
        <w:rPr>
          <w:rFonts w:cs="Times New Roman"/>
          <w:sz w:val="19"/>
          <w:szCs w:val="19"/>
          <w:lang w:val="uk-UA" w:eastAsia="uk-UA"/>
        </w:rPr>
        <w:tab/>
        <w:t>Дивіденди не нараховувати та не виплачувати.</w:t>
      </w:r>
    </w:p>
    <w:p w:rsidR="002D2086" w:rsidRPr="00B25B47" w:rsidRDefault="002D2086" w:rsidP="00B25B47">
      <w:pPr>
        <w:pStyle w:val="a6"/>
        <w:ind w:left="0"/>
        <w:rPr>
          <w:sz w:val="19"/>
          <w:szCs w:val="19"/>
        </w:rPr>
      </w:pPr>
    </w:p>
    <w:p w:rsidR="00B25B47" w:rsidRPr="00B25B47" w:rsidRDefault="00B25B47" w:rsidP="00B25B47">
      <w:pPr>
        <w:numPr>
          <w:ilvl w:val="0"/>
          <w:numId w:val="14"/>
        </w:numPr>
        <w:tabs>
          <w:tab w:val="left" w:pos="426"/>
        </w:tabs>
        <w:suppressAutoHyphens w:val="0"/>
        <w:ind w:left="426" w:right="-28" w:hanging="426"/>
        <w:jc w:val="both"/>
        <w:rPr>
          <w:rFonts w:cs="Times New Roman"/>
          <w:sz w:val="19"/>
          <w:szCs w:val="19"/>
          <w:lang w:val="uk-UA" w:eastAsia="uk-UA"/>
        </w:rPr>
      </w:pPr>
      <w:r w:rsidRPr="00B25B47">
        <w:rPr>
          <w:rFonts w:cs="Times New Roman"/>
          <w:sz w:val="19"/>
          <w:szCs w:val="19"/>
          <w:lang w:val="uk-UA" w:eastAsia="uk-UA"/>
        </w:rPr>
        <w:t>Про попереднє надання згоди на вчинення значних правочинів, які можуть вчинятися Товариством протягом року.</w:t>
      </w:r>
    </w:p>
    <w:p w:rsidR="00B25B47" w:rsidRPr="00B25B47" w:rsidRDefault="00B25B47" w:rsidP="00B25B47">
      <w:pPr>
        <w:ind w:firstLine="426"/>
        <w:jc w:val="both"/>
        <w:rPr>
          <w:rFonts w:cs="Times New Roman"/>
          <w:sz w:val="19"/>
          <w:szCs w:val="19"/>
          <w:u w:val="single"/>
          <w:lang w:val="uk-UA"/>
        </w:rPr>
      </w:pPr>
      <w:r w:rsidRPr="00B25B47">
        <w:rPr>
          <w:rFonts w:cs="Times New Roman"/>
          <w:sz w:val="19"/>
          <w:szCs w:val="19"/>
          <w:u w:val="single"/>
          <w:lang w:val="uk-UA"/>
        </w:rPr>
        <w:t>Проект рішення:</w:t>
      </w:r>
    </w:p>
    <w:p w:rsidR="00B25B47" w:rsidRPr="00B25B47" w:rsidRDefault="00B25B47" w:rsidP="00B25B47">
      <w:pPr>
        <w:ind w:left="426" w:hanging="426"/>
        <w:jc w:val="both"/>
        <w:rPr>
          <w:rFonts w:cs="Times New Roman"/>
          <w:sz w:val="19"/>
          <w:szCs w:val="19"/>
          <w:lang w:val="uk-UA"/>
        </w:rPr>
      </w:pPr>
      <w:r w:rsidRPr="00B25B47">
        <w:rPr>
          <w:rFonts w:cs="Times New Roman"/>
          <w:b/>
          <w:sz w:val="19"/>
          <w:szCs w:val="19"/>
          <w:lang w:val="uk-UA"/>
        </w:rPr>
        <w:t>7.1.</w:t>
      </w:r>
      <w:r w:rsidRPr="00B25B47">
        <w:rPr>
          <w:rFonts w:cs="Times New Roman"/>
          <w:sz w:val="19"/>
          <w:szCs w:val="19"/>
          <w:lang w:val="uk-UA"/>
        </w:rPr>
        <w:tab/>
        <w:t>Попередньо надати згоду на вчинення (укладення) Товариством протягом не більш ніж одного року з дати прийняття даного рішення наступних договорів (контрактів):</w:t>
      </w:r>
    </w:p>
    <w:p w:rsidR="00B25B47" w:rsidRPr="00B25B47" w:rsidRDefault="00B25B47" w:rsidP="00B25B47">
      <w:pPr>
        <w:ind w:left="426" w:hanging="142"/>
        <w:jc w:val="both"/>
        <w:rPr>
          <w:rFonts w:cs="Times New Roman"/>
          <w:sz w:val="19"/>
          <w:szCs w:val="19"/>
        </w:rPr>
      </w:pPr>
      <w:r w:rsidRPr="00B25B47">
        <w:rPr>
          <w:rFonts w:cs="Times New Roman"/>
          <w:sz w:val="19"/>
          <w:szCs w:val="19"/>
          <w:lang w:val="uk-UA"/>
        </w:rPr>
        <w:t>-</w:t>
      </w:r>
      <w:r w:rsidRPr="00B25B47">
        <w:rPr>
          <w:rFonts w:cs="Times New Roman"/>
          <w:sz w:val="19"/>
          <w:szCs w:val="19"/>
          <w:lang w:val="uk-UA"/>
        </w:rPr>
        <w:tab/>
        <w:t>кредитних договорів з фінансовими установами, загальний сукупний розмір яких не перевищує 40 000 000,00 грн. (сорок мільйонів гривень 00 копійок) на умовах, визначених Наглядовою Радою Товариства;</w:t>
      </w:r>
    </w:p>
    <w:p w:rsidR="00B25B47" w:rsidRPr="00B25B47" w:rsidRDefault="00B25B47" w:rsidP="00B25B47">
      <w:pPr>
        <w:ind w:left="426" w:hanging="142"/>
        <w:jc w:val="both"/>
        <w:rPr>
          <w:rFonts w:cs="Times New Roman"/>
          <w:sz w:val="19"/>
          <w:szCs w:val="19"/>
          <w:lang w:val="uk-UA"/>
        </w:rPr>
      </w:pPr>
      <w:r w:rsidRPr="00B25B47">
        <w:rPr>
          <w:rFonts w:cs="Times New Roman"/>
          <w:sz w:val="19"/>
          <w:szCs w:val="19"/>
          <w:lang w:val="uk-UA"/>
        </w:rPr>
        <w:t>-</w:t>
      </w:r>
      <w:r w:rsidRPr="00B25B47">
        <w:rPr>
          <w:rFonts w:cs="Times New Roman"/>
          <w:sz w:val="19"/>
          <w:szCs w:val="19"/>
          <w:lang w:val="uk-UA"/>
        </w:rPr>
        <w:tab/>
        <w:t>договорів застави (іпотеки) з фінансовими установами, у тому числі в якості майнового поручителя за зобов’язаннями третіх осіб, з ринковою вартістю майна, що передається в заставу (іпотеку),  на суму, що не перевищує 200 000 000,00 грн. (двісті мільйонів гривень 00 копійок) на умовах, визначених Наглядовою Радою Товариства;</w:t>
      </w:r>
    </w:p>
    <w:p w:rsidR="00B25B47" w:rsidRPr="00B25B47" w:rsidRDefault="00B25B47" w:rsidP="00B25B47">
      <w:pPr>
        <w:ind w:left="426" w:hanging="142"/>
        <w:jc w:val="both"/>
        <w:rPr>
          <w:rFonts w:cs="Times New Roman"/>
          <w:sz w:val="19"/>
          <w:szCs w:val="19"/>
          <w:lang w:val="uk-UA"/>
        </w:rPr>
      </w:pPr>
      <w:r w:rsidRPr="00B25B47">
        <w:rPr>
          <w:rFonts w:cs="Times New Roman"/>
          <w:sz w:val="19"/>
          <w:szCs w:val="19"/>
          <w:lang w:val="uk-UA"/>
        </w:rPr>
        <w:t>-</w:t>
      </w:r>
      <w:r w:rsidRPr="00B25B47">
        <w:rPr>
          <w:rFonts w:cs="Times New Roman"/>
          <w:sz w:val="19"/>
          <w:szCs w:val="19"/>
          <w:lang w:val="uk-UA"/>
        </w:rPr>
        <w:tab/>
        <w:t>договорів надання/отримання фінансової допомоги, загальний сукупний розмір яких не перевищує 200 000 000,00 грн. (двісті мільйонів гривень 00 копійок) на умовах, визначених Наглядовою Радою Товариства.</w:t>
      </w:r>
    </w:p>
    <w:p w:rsidR="00C36BF5" w:rsidRPr="00B31028" w:rsidRDefault="00C36BF5" w:rsidP="00C36BF5">
      <w:pPr>
        <w:ind w:left="426" w:hanging="426"/>
        <w:jc w:val="both"/>
        <w:rPr>
          <w:rFonts w:cs="Times New Roman"/>
          <w:sz w:val="19"/>
          <w:szCs w:val="19"/>
          <w:lang w:val="uk-UA"/>
        </w:rPr>
      </w:pPr>
      <w:r w:rsidRPr="00B31028">
        <w:rPr>
          <w:rFonts w:cs="Times New Roman"/>
          <w:b/>
          <w:sz w:val="19"/>
          <w:szCs w:val="19"/>
          <w:lang w:val="uk-UA"/>
        </w:rPr>
        <w:t>7.2.</w:t>
      </w:r>
      <w:r w:rsidRPr="00B31028">
        <w:rPr>
          <w:rFonts w:cs="Times New Roman"/>
          <w:sz w:val="19"/>
          <w:szCs w:val="19"/>
          <w:lang w:val="uk-UA"/>
        </w:rPr>
        <w:tab/>
        <w:t xml:space="preserve">Уповноважити Наглядову Раду Товариства визначати інші істотні умови договорів (контрактів) та додаткових угод, </w:t>
      </w:r>
      <w:r>
        <w:rPr>
          <w:rFonts w:cs="Times New Roman"/>
          <w:sz w:val="19"/>
          <w:szCs w:val="19"/>
          <w:lang w:val="uk-UA"/>
        </w:rPr>
        <w:t xml:space="preserve">на вчинення яких було </w:t>
      </w:r>
      <w:r w:rsidRPr="00B31028">
        <w:rPr>
          <w:rFonts w:cs="Times New Roman"/>
          <w:sz w:val="19"/>
          <w:szCs w:val="19"/>
          <w:lang w:val="uk-UA"/>
        </w:rPr>
        <w:t xml:space="preserve">попередньо </w:t>
      </w:r>
      <w:r>
        <w:rPr>
          <w:rFonts w:cs="Times New Roman"/>
          <w:sz w:val="19"/>
          <w:szCs w:val="19"/>
          <w:lang w:val="uk-UA"/>
        </w:rPr>
        <w:t xml:space="preserve">надано згоду </w:t>
      </w:r>
      <w:r w:rsidRPr="00B31028">
        <w:rPr>
          <w:rFonts w:cs="Times New Roman"/>
          <w:sz w:val="19"/>
          <w:szCs w:val="19"/>
          <w:lang w:val="uk-UA"/>
        </w:rPr>
        <w:t xml:space="preserve">річними Загальними зборами акціонерів Товариства, а саме: контрагента, строк (термін) дії договору (контракту), ціну договору (контракту) у межах граничної суми, затвердженої річними </w:t>
      </w:r>
      <w:r w:rsidRPr="00B31028">
        <w:rPr>
          <w:rFonts w:cs="Times New Roman"/>
          <w:sz w:val="19"/>
          <w:szCs w:val="19"/>
          <w:lang w:val="uk-UA"/>
        </w:rPr>
        <w:lastRenderedPageBreak/>
        <w:t>Загальними зборами акціонерів Товариства, тощо, а також для договорів застави (іпотеки) - перелік майна, що передається в заставу (іпотеку), для кредитних договорів - процентну ставку.</w:t>
      </w:r>
    </w:p>
    <w:p w:rsidR="00166DD9" w:rsidRPr="00C36BF5" w:rsidRDefault="00166DD9" w:rsidP="00B25B47">
      <w:pPr>
        <w:rPr>
          <w:b/>
          <w:sz w:val="19"/>
          <w:szCs w:val="19"/>
          <w:lang w:val="uk-UA"/>
        </w:rPr>
      </w:pPr>
    </w:p>
    <w:p w:rsidR="002D2086" w:rsidRPr="00B25B47" w:rsidRDefault="002D2086" w:rsidP="00B25B47">
      <w:pPr>
        <w:rPr>
          <w:b/>
          <w:sz w:val="19"/>
          <w:szCs w:val="19"/>
          <w:lang w:val="uk-UA"/>
        </w:rPr>
      </w:pPr>
      <w:r w:rsidRPr="00B25B47">
        <w:rPr>
          <w:b/>
          <w:sz w:val="19"/>
          <w:szCs w:val="19"/>
          <w:lang w:val="uk-UA"/>
        </w:rPr>
        <w:t>Основні показники фінансово-господарської діяльності Товариства (тис. грн.)</w:t>
      </w:r>
    </w:p>
    <w:tbl>
      <w:tblPr>
        <w:tblStyle w:val="11"/>
        <w:tblW w:w="37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1860"/>
        <w:gridCol w:w="1281"/>
      </w:tblGrid>
      <w:tr w:rsidR="002D2086" w:rsidRPr="00B25B47" w:rsidTr="00B25B47">
        <w:trPr>
          <w:trHeight w:val="121"/>
        </w:trPr>
        <w:tc>
          <w:tcPr>
            <w:tcW w:w="2953" w:type="pct"/>
            <w:vMerge w:val="restart"/>
          </w:tcPr>
          <w:p w:rsidR="002D2086" w:rsidRPr="00B25B47" w:rsidRDefault="002D2086" w:rsidP="00B25B47">
            <w:pPr>
              <w:jc w:val="center"/>
              <w:rPr>
                <w:b/>
                <w:sz w:val="19"/>
                <w:szCs w:val="19"/>
                <w:lang w:val="uk-UA" w:eastAsia="uk-UA"/>
              </w:rPr>
            </w:pPr>
            <w:r w:rsidRPr="00B25B47">
              <w:rPr>
                <w:b/>
                <w:sz w:val="19"/>
                <w:szCs w:val="19"/>
                <w:lang w:val="uk-UA" w:eastAsia="uk-UA"/>
              </w:rPr>
              <w:t>Найменування показника </w:t>
            </w:r>
          </w:p>
        </w:tc>
        <w:tc>
          <w:tcPr>
            <w:tcW w:w="2047" w:type="pct"/>
            <w:gridSpan w:val="2"/>
            <w:hideMark/>
          </w:tcPr>
          <w:p w:rsidR="002D2086" w:rsidRPr="00B25B47" w:rsidRDefault="002D2086" w:rsidP="00B25B47">
            <w:pPr>
              <w:jc w:val="center"/>
              <w:rPr>
                <w:b/>
                <w:sz w:val="19"/>
                <w:szCs w:val="19"/>
                <w:lang w:val="uk-UA" w:eastAsia="uk-UA"/>
              </w:rPr>
            </w:pPr>
            <w:r w:rsidRPr="00B25B47">
              <w:rPr>
                <w:b/>
                <w:sz w:val="19"/>
                <w:szCs w:val="19"/>
                <w:lang w:val="uk-UA" w:eastAsia="uk-UA"/>
              </w:rPr>
              <w:t>Період </w:t>
            </w:r>
          </w:p>
        </w:tc>
      </w:tr>
      <w:tr w:rsidR="002D2086" w:rsidRPr="00B25B47" w:rsidTr="00B25B47">
        <w:tc>
          <w:tcPr>
            <w:tcW w:w="2953" w:type="pct"/>
            <w:vMerge/>
          </w:tcPr>
          <w:p w:rsidR="002D2086" w:rsidRPr="00B25B47" w:rsidRDefault="002D2086" w:rsidP="00B25B47">
            <w:pPr>
              <w:jc w:val="center"/>
              <w:rPr>
                <w:b/>
                <w:sz w:val="19"/>
                <w:szCs w:val="19"/>
                <w:lang w:val="uk-UA" w:eastAsia="uk-UA"/>
              </w:rPr>
            </w:pPr>
          </w:p>
        </w:tc>
        <w:tc>
          <w:tcPr>
            <w:tcW w:w="1212" w:type="pct"/>
            <w:hideMark/>
          </w:tcPr>
          <w:p w:rsidR="002D2086" w:rsidRPr="00B25B47" w:rsidRDefault="002D2086" w:rsidP="00B25B47">
            <w:pPr>
              <w:jc w:val="center"/>
              <w:rPr>
                <w:b/>
                <w:sz w:val="19"/>
                <w:szCs w:val="19"/>
                <w:vertAlign w:val="superscript"/>
                <w:lang w:val="uk-UA" w:eastAsia="uk-UA"/>
              </w:rPr>
            </w:pPr>
            <w:r w:rsidRPr="00B25B47">
              <w:rPr>
                <w:b/>
                <w:sz w:val="19"/>
                <w:szCs w:val="19"/>
                <w:lang w:val="uk-UA" w:eastAsia="uk-UA"/>
              </w:rPr>
              <w:t>звітний</w:t>
            </w:r>
          </w:p>
        </w:tc>
        <w:tc>
          <w:tcPr>
            <w:tcW w:w="835" w:type="pct"/>
            <w:hideMark/>
          </w:tcPr>
          <w:p w:rsidR="002D2086" w:rsidRPr="00B25B47" w:rsidRDefault="002D2086" w:rsidP="00B25B47">
            <w:pPr>
              <w:jc w:val="center"/>
              <w:rPr>
                <w:b/>
                <w:sz w:val="19"/>
                <w:szCs w:val="19"/>
                <w:lang w:val="uk-UA" w:eastAsia="uk-UA"/>
              </w:rPr>
            </w:pPr>
            <w:r w:rsidRPr="00B25B47">
              <w:rPr>
                <w:b/>
                <w:sz w:val="19"/>
                <w:szCs w:val="19"/>
                <w:lang w:val="uk-UA" w:eastAsia="uk-UA"/>
              </w:rPr>
              <w:t>попередній </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Усього активів</w:t>
            </w:r>
          </w:p>
        </w:tc>
        <w:tc>
          <w:tcPr>
            <w:tcW w:w="1212" w:type="pct"/>
          </w:tcPr>
          <w:p w:rsidR="00166DD9" w:rsidRPr="00B25B47" w:rsidRDefault="00166DD9" w:rsidP="00B25B47">
            <w:pPr>
              <w:jc w:val="center"/>
              <w:rPr>
                <w:sz w:val="19"/>
                <w:szCs w:val="19"/>
                <w:lang w:val="uk-UA"/>
              </w:rPr>
            </w:pPr>
            <w:r w:rsidRPr="00B25B47">
              <w:rPr>
                <w:sz w:val="19"/>
                <w:szCs w:val="19"/>
                <w:lang w:val="uk-UA"/>
              </w:rPr>
              <w:t>48 727</w:t>
            </w:r>
          </w:p>
        </w:tc>
        <w:tc>
          <w:tcPr>
            <w:tcW w:w="835" w:type="pct"/>
          </w:tcPr>
          <w:p w:rsidR="00166DD9" w:rsidRPr="00B25B47" w:rsidRDefault="00166DD9" w:rsidP="00B25B47">
            <w:pPr>
              <w:jc w:val="center"/>
              <w:rPr>
                <w:sz w:val="19"/>
                <w:szCs w:val="19"/>
              </w:rPr>
            </w:pPr>
            <w:r w:rsidRPr="00B25B47">
              <w:rPr>
                <w:sz w:val="19"/>
                <w:szCs w:val="19"/>
              </w:rPr>
              <w:t>41</w:t>
            </w:r>
            <w:r w:rsidRPr="00B25B47">
              <w:rPr>
                <w:sz w:val="19"/>
                <w:szCs w:val="19"/>
                <w:lang w:val="en-US"/>
              </w:rPr>
              <w:t xml:space="preserve"> </w:t>
            </w:r>
            <w:r w:rsidRPr="00B25B47">
              <w:rPr>
                <w:sz w:val="19"/>
                <w:szCs w:val="19"/>
              </w:rPr>
              <w:t>251</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Основні засоби (за залишковою вартістю)</w:t>
            </w:r>
          </w:p>
        </w:tc>
        <w:tc>
          <w:tcPr>
            <w:tcW w:w="1212" w:type="pct"/>
          </w:tcPr>
          <w:p w:rsidR="00166DD9" w:rsidRPr="00B25B47" w:rsidRDefault="00166DD9" w:rsidP="00B25B47">
            <w:pPr>
              <w:jc w:val="center"/>
              <w:rPr>
                <w:sz w:val="19"/>
                <w:szCs w:val="19"/>
                <w:lang w:val="uk-UA"/>
              </w:rPr>
            </w:pPr>
            <w:r w:rsidRPr="00B25B47">
              <w:rPr>
                <w:sz w:val="19"/>
                <w:szCs w:val="19"/>
                <w:lang w:val="uk-UA"/>
              </w:rPr>
              <w:t>20 766</w:t>
            </w:r>
          </w:p>
        </w:tc>
        <w:tc>
          <w:tcPr>
            <w:tcW w:w="835" w:type="pct"/>
          </w:tcPr>
          <w:p w:rsidR="00166DD9" w:rsidRPr="00B25B47" w:rsidRDefault="00166DD9" w:rsidP="00B25B47">
            <w:pPr>
              <w:jc w:val="center"/>
              <w:rPr>
                <w:sz w:val="19"/>
                <w:szCs w:val="19"/>
              </w:rPr>
            </w:pPr>
            <w:r w:rsidRPr="00B25B47">
              <w:rPr>
                <w:sz w:val="19"/>
                <w:szCs w:val="19"/>
              </w:rPr>
              <w:t>13</w:t>
            </w:r>
            <w:r w:rsidRPr="00B25B47">
              <w:rPr>
                <w:sz w:val="19"/>
                <w:szCs w:val="19"/>
                <w:lang w:val="en-US"/>
              </w:rPr>
              <w:t xml:space="preserve"> </w:t>
            </w:r>
            <w:r w:rsidRPr="00B25B47">
              <w:rPr>
                <w:sz w:val="19"/>
                <w:szCs w:val="19"/>
              </w:rPr>
              <w:t>511</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Запаси</w:t>
            </w:r>
          </w:p>
        </w:tc>
        <w:tc>
          <w:tcPr>
            <w:tcW w:w="1212" w:type="pct"/>
          </w:tcPr>
          <w:p w:rsidR="00166DD9" w:rsidRPr="00B25B47" w:rsidRDefault="00166DD9" w:rsidP="00B25B47">
            <w:pPr>
              <w:jc w:val="center"/>
              <w:rPr>
                <w:sz w:val="19"/>
                <w:szCs w:val="19"/>
                <w:lang w:val="uk-UA"/>
              </w:rPr>
            </w:pPr>
            <w:r w:rsidRPr="00B25B47">
              <w:rPr>
                <w:sz w:val="19"/>
                <w:szCs w:val="19"/>
                <w:lang w:val="uk-UA"/>
              </w:rPr>
              <w:t>9 092</w:t>
            </w:r>
          </w:p>
        </w:tc>
        <w:tc>
          <w:tcPr>
            <w:tcW w:w="835" w:type="pct"/>
          </w:tcPr>
          <w:p w:rsidR="00166DD9" w:rsidRPr="00B25B47" w:rsidRDefault="00166DD9" w:rsidP="00B25B47">
            <w:pPr>
              <w:jc w:val="center"/>
              <w:rPr>
                <w:sz w:val="19"/>
                <w:szCs w:val="19"/>
              </w:rPr>
            </w:pPr>
            <w:r w:rsidRPr="00B25B47">
              <w:rPr>
                <w:sz w:val="19"/>
                <w:szCs w:val="19"/>
              </w:rPr>
              <w:t>7</w:t>
            </w:r>
            <w:r w:rsidRPr="00B25B47">
              <w:rPr>
                <w:sz w:val="19"/>
                <w:szCs w:val="19"/>
                <w:lang w:val="en-US"/>
              </w:rPr>
              <w:t xml:space="preserve"> </w:t>
            </w:r>
            <w:r w:rsidRPr="00B25B47">
              <w:rPr>
                <w:sz w:val="19"/>
                <w:szCs w:val="19"/>
              </w:rPr>
              <w:t>290</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Сумарна дебіторська заборгованість</w:t>
            </w:r>
          </w:p>
        </w:tc>
        <w:tc>
          <w:tcPr>
            <w:tcW w:w="1212" w:type="pct"/>
          </w:tcPr>
          <w:p w:rsidR="00166DD9" w:rsidRPr="00B25B47" w:rsidRDefault="00166DD9" w:rsidP="00B25B47">
            <w:pPr>
              <w:jc w:val="center"/>
              <w:rPr>
                <w:sz w:val="19"/>
                <w:szCs w:val="19"/>
                <w:lang w:val="uk-UA"/>
              </w:rPr>
            </w:pPr>
            <w:r w:rsidRPr="00B25B47">
              <w:rPr>
                <w:sz w:val="19"/>
                <w:szCs w:val="19"/>
                <w:lang w:val="uk-UA"/>
              </w:rPr>
              <w:t>9 740</w:t>
            </w:r>
          </w:p>
        </w:tc>
        <w:tc>
          <w:tcPr>
            <w:tcW w:w="835" w:type="pct"/>
          </w:tcPr>
          <w:p w:rsidR="00166DD9" w:rsidRPr="00B25B47" w:rsidRDefault="00166DD9" w:rsidP="00B25B47">
            <w:pPr>
              <w:jc w:val="center"/>
              <w:rPr>
                <w:sz w:val="19"/>
                <w:szCs w:val="19"/>
              </w:rPr>
            </w:pPr>
            <w:r w:rsidRPr="00B25B47">
              <w:rPr>
                <w:sz w:val="19"/>
                <w:szCs w:val="19"/>
              </w:rPr>
              <w:t>7</w:t>
            </w:r>
            <w:r w:rsidRPr="00B25B47">
              <w:rPr>
                <w:sz w:val="19"/>
                <w:szCs w:val="19"/>
                <w:lang w:val="en-US"/>
              </w:rPr>
              <w:t xml:space="preserve"> </w:t>
            </w:r>
            <w:r w:rsidRPr="00B25B47">
              <w:rPr>
                <w:sz w:val="19"/>
                <w:szCs w:val="19"/>
              </w:rPr>
              <w:t>589</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Гроші та їх еквіваленти</w:t>
            </w:r>
          </w:p>
        </w:tc>
        <w:tc>
          <w:tcPr>
            <w:tcW w:w="1212" w:type="pct"/>
          </w:tcPr>
          <w:p w:rsidR="00166DD9" w:rsidRPr="00B25B47" w:rsidRDefault="00166DD9" w:rsidP="00B25B47">
            <w:pPr>
              <w:jc w:val="center"/>
              <w:rPr>
                <w:sz w:val="19"/>
                <w:szCs w:val="19"/>
                <w:lang w:val="uk-UA"/>
              </w:rPr>
            </w:pPr>
            <w:r w:rsidRPr="00B25B47">
              <w:rPr>
                <w:sz w:val="19"/>
                <w:szCs w:val="19"/>
                <w:lang w:val="uk-UA"/>
              </w:rPr>
              <w:t>2 706</w:t>
            </w:r>
          </w:p>
        </w:tc>
        <w:tc>
          <w:tcPr>
            <w:tcW w:w="835" w:type="pct"/>
          </w:tcPr>
          <w:p w:rsidR="00166DD9" w:rsidRPr="00B25B47" w:rsidRDefault="00166DD9" w:rsidP="00B25B47">
            <w:pPr>
              <w:jc w:val="center"/>
              <w:rPr>
                <w:sz w:val="19"/>
                <w:szCs w:val="19"/>
              </w:rPr>
            </w:pPr>
            <w:r w:rsidRPr="00B25B47">
              <w:rPr>
                <w:sz w:val="19"/>
                <w:szCs w:val="19"/>
              </w:rPr>
              <w:t>4</w:t>
            </w:r>
            <w:r w:rsidRPr="00B25B47">
              <w:rPr>
                <w:sz w:val="19"/>
                <w:szCs w:val="19"/>
                <w:lang w:val="en-US"/>
              </w:rPr>
              <w:t xml:space="preserve"> </w:t>
            </w:r>
            <w:r w:rsidRPr="00B25B47">
              <w:rPr>
                <w:sz w:val="19"/>
                <w:szCs w:val="19"/>
              </w:rPr>
              <w:t>873</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Нерозподілений прибуток (непокритий збиток)</w:t>
            </w:r>
          </w:p>
        </w:tc>
        <w:tc>
          <w:tcPr>
            <w:tcW w:w="1212" w:type="pct"/>
          </w:tcPr>
          <w:p w:rsidR="00166DD9" w:rsidRPr="00B25B47" w:rsidRDefault="00166DD9" w:rsidP="00B25B47">
            <w:pPr>
              <w:jc w:val="center"/>
              <w:rPr>
                <w:sz w:val="19"/>
                <w:szCs w:val="19"/>
                <w:lang w:val="uk-UA"/>
              </w:rPr>
            </w:pPr>
            <w:r w:rsidRPr="00B25B47">
              <w:rPr>
                <w:sz w:val="19"/>
                <w:szCs w:val="19"/>
                <w:lang w:val="uk-UA"/>
              </w:rPr>
              <w:t>17 624</w:t>
            </w:r>
          </w:p>
        </w:tc>
        <w:tc>
          <w:tcPr>
            <w:tcW w:w="835" w:type="pct"/>
          </w:tcPr>
          <w:p w:rsidR="00166DD9" w:rsidRPr="00B25B47" w:rsidRDefault="00166DD9" w:rsidP="00B25B47">
            <w:pPr>
              <w:jc w:val="center"/>
              <w:rPr>
                <w:sz w:val="19"/>
                <w:szCs w:val="19"/>
              </w:rPr>
            </w:pPr>
            <w:r w:rsidRPr="00B25B47">
              <w:rPr>
                <w:sz w:val="19"/>
                <w:szCs w:val="19"/>
              </w:rPr>
              <w:t>16</w:t>
            </w:r>
            <w:r w:rsidRPr="00B25B47">
              <w:rPr>
                <w:sz w:val="19"/>
                <w:szCs w:val="19"/>
                <w:lang w:val="en-US"/>
              </w:rPr>
              <w:t xml:space="preserve"> </w:t>
            </w:r>
            <w:r w:rsidRPr="00B25B47">
              <w:rPr>
                <w:sz w:val="19"/>
                <w:szCs w:val="19"/>
              </w:rPr>
              <w:t>376</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Власний капітал</w:t>
            </w:r>
          </w:p>
        </w:tc>
        <w:tc>
          <w:tcPr>
            <w:tcW w:w="1212" w:type="pct"/>
          </w:tcPr>
          <w:p w:rsidR="00166DD9" w:rsidRPr="00B25B47" w:rsidRDefault="00166DD9" w:rsidP="00B25B47">
            <w:pPr>
              <w:jc w:val="center"/>
              <w:rPr>
                <w:sz w:val="19"/>
                <w:szCs w:val="19"/>
                <w:lang w:val="uk-UA"/>
              </w:rPr>
            </w:pPr>
            <w:r w:rsidRPr="00B25B47">
              <w:rPr>
                <w:sz w:val="19"/>
                <w:szCs w:val="19"/>
                <w:lang w:val="uk-UA"/>
              </w:rPr>
              <w:t>26 961</w:t>
            </w:r>
          </w:p>
        </w:tc>
        <w:tc>
          <w:tcPr>
            <w:tcW w:w="835" w:type="pct"/>
          </w:tcPr>
          <w:p w:rsidR="00166DD9" w:rsidRPr="00B25B47" w:rsidRDefault="00166DD9" w:rsidP="00B25B47">
            <w:pPr>
              <w:jc w:val="center"/>
              <w:rPr>
                <w:sz w:val="19"/>
                <w:szCs w:val="19"/>
              </w:rPr>
            </w:pPr>
            <w:r w:rsidRPr="00B25B47">
              <w:rPr>
                <w:sz w:val="19"/>
                <w:szCs w:val="19"/>
              </w:rPr>
              <w:t>25</w:t>
            </w:r>
            <w:r w:rsidRPr="00B25B47">
              <w:rPr>
                <w:sz w:val="19"/>
                <w:szCs w:val="19"/>
                <w:lang w:val="en-US"/>
              </w:rPr>
              <w:t xml:space="preserve"> </w:t>
            </w:r>
            <w:r w:rsidRPr="00B25B47">
              <w:rPr>
                <w:sz w:val="19"/>
                <w:szCs w:val="19"/>
              </w:rPr>
              <w:t>713</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Зареєстрований (пайовий/статутний) капітал</w:t>
            </w:r>
          </w:p>
        </w:tc>
        <w:tc>
          <w:tcPr>
            <w:tcW w:w="1212" w:type="pct"/>
          </w:tcPr>
          <w:p w:rsidR="00166DD9" w:rsidRPr="00B25B47" w:rsidRDefault="00166DD9" w:rsidP="00B25B47">
            <w:pPr>
              <w:jc w:val="center"/>
              <w:rPr>
                <w:sz w:val="19"/>
                <w:szCs w:val="19"/>
                <w:lang w:val="uk-UA"/>
              </w:rPr>
            </w:pPr>
            <w:r w:rsidRPr="00B25B47">
              <w:rPr>
                <w:sz w:val="19"/>
                <w:szCs w:val="19"/>
                <w:lang w:val="uk-UA"/>
              </w:rPr>
              <w:t>9 022</w:t>
            </w:r>
          </w:p>
        </w:tc>
        <w:tc>
          <w:tcPr>
            <w:tcW w:w="835" w:type="pct"/>
          </w:tcPr>
          <w:p w:rsidR="00166DD9" w:rsidRPr="00B25B47" w:rsidRDefault="00166DD9" w:rsidP="00B25B47">
            <w:pPr>
              <w:jc w:val="center"/>
              <w:rPr>
                <w:sz w:val="19"/>
                <w:szCs w:val="19"/>
              </w:rPr>
            </w:pPr>
            <w:r w:rsidRPr="00B25B47">
              <w:rPr>
                <w:sz w:val="19"/>
                <w:szCs w:val="19"/>
              </w:rPr>
              <w:t>9</w:t>
            </w:r>
            <w:r w:rsidRPr="00B25B47">
              <w:rPr>
                <w:sz w:val="19"/>
                <w:szCs w:val="19"/>
                <w:lang w:val="en-US"/>
              </w:rPr>
              <w:t xml:space="preserve"> </w:t>
            </w:r>
            <w:r w:rsidRPr="00B25B47">
              <w:rPr>
                <w:sz w:val="19"/>
                <w:szCs w:val="19"/>
              </w:rPr>
              <w:t>022</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Довгострокові зобов’язання і забезпечення</w:t>
            </w:r>
          </w:p>
        </w:tc>
        <w:tc>
          <w:tcPr>
            <w:tcW w:w="1212" w:type="pct"/>
          </w:tcPr>
          <w:p w:rsidR="00166DD9" w:rsidRPr="00B25B47" w:rsidRDefault="00166DD9" w:rsidP="00B25B47">
            <w:pPr>
              <w:jc w:val="center"/>
              <w:rPr>
                <w:sz w:val="19"/>
                <w:szCs w:val="19"/>
                <w:lang w:val="uk-UA"/>
              </w:rPr>
            </w:pPr>
            <w:r w:rsidRPr="00B25B47">
              <w:rPr>
                <w:sz w:val="19"/>
                <w:szCs w:val="19"/>
                <w:lang w:val="uk-UA"/>
              </w:rPr>
              <w:t>-</w:t>
            </w:r>
          </w:p>
        </w:tc>
        <w:tc>
          <w:tcPr>
            <w:tcW w:w="835" w:type="pct"/>
          </w:tcPr>
          <w:p w:rsidR="00166DD9" w:rsidRPr="00B25B47" w:rsidRDefault="00166DD9" w:rsidP="00B25B47">
            <w:pPr>
              <w:jc w:val="center"/>
              <w:rPr>
                <w:sz w:val="19"/>
                <w:szCs w:val="19"/>
              </w:rPr>
            </w:pPr>
            <w:r w:rsidRPr="00B25B47">
              <w:rPr>
                <w:sz w:val="19"/>
                <w:szCs w:val="19"/>
              </w:rPr>
              <w:t>-</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Поточні зобов’язання і забезпечення</w:t>
            </w:r>
          </w:p>
        </w:tc>
        <w:tc>
          <w:tcPr>
            <w:tcW w:w="1212" w:type="pct"/>
          </w:tcPr>
          <w:p w:rsidR="00166DD9" w:rsidRPr="00B25B47" w:rsidRDefault="00166DD9" w:rsidP="00B25B47">
            <w:pPr>
              <w:jc w:val="center"/>
              <w:rPr>
                <w:sz w:val="19"/>
                <w:szCs w:val="19"/>
                <w:lang w:val="uk-UA"/>
              </w:rPr>
            </w:pPr>
            <w:r w:rsidRPr="00B25B47">
              <w:rPr>
                <w:sz w:val="19"/>
                <w:szCs w:val="19"/>
                <w:lang w:val="uk-UA"/>
              </w:rPr>
              <w:t>21 766</w:t>
            </w:r>
          </w:p>
        </w:tc>
        <w:tc>
          <w:tcPr>
            <w:tcW w:w="835" w:type="pct"/>
          </w:tcPr>
          <w:p w:rsidR="00166DD9" w:rsidRPr="00B25B47" w:rsidRDefault="00166DD9" w:rsidP="00B25B47">
            <w:pPr>
              <w:jc w:val="center"/>
              <w:rPr>
                <w:sz w:val="19"/>
                <w:szCs w:val="19"/>
              </w:rPr>
            </w:pPr>
            <w:r w:rsidRPr="00B25B47">
              <w:rPr>
                <w:sz w:val="19"/>
                <w:szCs w:val="19"/>
              </w:rPr>
              <w:t>15</w:t>
            </w:r>
            <w:r w:rsidRPr="00B25B47">
              <w:rPr>
                <w:sz w:val="19"/>
                <w:szCs w:val="19"/>
                <w:lang w:val="en-US"/>
              </w:rPr>
              <w:t xml:space="preserve"> </w:t>
            </w:r>
            <w:r w:rsidRPr="00B25B47">
              <w:rPr>
                <w:sz w:val="19"/>
                <w:szCs w:val="19"/>
              </w:rPr>
              <w:t>538</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Чистий фінансовий результат: прибуток (збиток)</w:t>
            </w:r>
          </w:p>
        </w:tc>
        <w:tc>
          <w:tcPr>
            <w:tcW w:w="1212" w:type="pct"/>
          </w:tcPr>
          <w:p w:rsidR="00166DD9" w:rsidRPr="00B25B47" w:rsidRDefault="00166DD9" w:rsidP="00B25B47">
            <w:pPr>
              <w:jc w:val="center"/>
              <w:rPr>
                <w:sz w:val="19"/>
                <w:szCs w:val="19"/>
                <w:lang w:val="uk-UA"/>
              </w:rPr>
            </w:pPr>
            <w:r w:rsidRPr="00B25B47">
              <w:rPr>
                <w:sz w:val="19"/>
                <w:szCs w:val="19"/>
                <w:lang w:val="uk-UA"/>
              </w:rPr>
              <w:t>1 248</w:t>
            </w:r>
          </w:p>
        </w:tc>
        <w:tc>
          <w:tcPr>
            <w:tcW w:w="835" w:type="pct"/>
          </w:tcPr>
          <w:p w:rsidR="00166DD9" w:rsidRPr="00B25B47" w:rsidRDefault="00166DD9" w:rsidP="00B25B47">
            <w:pPr>
              <w:jc w:val="center"/>
              <w:rPr>
                <w:sz w:val="19"/>
                <w:szCs w:val="19"/>
              </w:rPr>
            </w:pPr>
            <w:r w:rsidRPr="00B25B47">
              <w:rPr>
                <w:sz w:val="19"/>
                <w:szCs w:val="19"/>
              </w:rPr>
              <w:t>-915</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Середньорічна кількість акцій (шт.)</w:t>
            </w:r>
          </w:p>
        </w:tc>
        <w:tc>
          <w:tcPr>
            <w:tcW w:w="1212" w:type="pct"/>
          </w:tcPr>
          <w:p w:rsidR="00166DD9" w:rsidRPr="00B25B47" w:rsidRDefault="00166DD9" w:rsidP="00B25B47">
            <w:pPr>
              <w:jc w:val="center"/>
              <w:rPr>
                <w:sz w:val="19"/>
                <w:szCs w:val="19"/>
                <w:lang w:val="uk-UA"/>
              </w:rPr>
            </w:pPr>
            <w:r w:rsidRPr="00B25B47">
              <w:rPr>
                <w:sz w:val="19"/>
                <w:szCs w:val="19"/>
                <w:lang w:val="uk-UA"/>
              </w:rPr>
              <w:t>1 202 900</w:t>
            </w:r>
          </w:p>
        </w:tc>
        <w:tc>
          <w:tcPr>
            <w:tcW w:w="835" w:type="pct"/>
          </w:tcPr>
          <w:p w:rsidR="00166DD9" w:rsidRPr="00B25B47" w:rsidRDefault="00166DD9" w:rsidP="00B25B47">
            <w:pPr>
              <w:jc w:val="center"/>
              <w:rPr>
                <w:sz w:val="19"/>
                <w:szCs w:val="19"/>
              </w:rPr>
            </w:pPr>
            <w:r w:rsidRPr="00B25B47">
              <w:rPr>
                <w:sz w:val="19"/>
                <w:szCs w:val="19"/>
              </w:rPr>
              <w:t>1</w:t>
            </w:r>
            <w:r w:rsidRPr="00B25B47">
              <w:rPr>
                <w:sz w:val="19"/>
                <w:szCs w:val="19"/>
                <w:lang w:val="en-US"/>
              </w:rPr>
              <w:t xml:space="preserve"> </w:t>
            </w:r>
            <w:r w:rsidRPr="00B25B47">
              <w:rPr>
                <w:sz w:val="19"/>
                <w:szCs w:val="19"/>
              </w:rPr>
              <w:t>202</w:t>
            </w:r>
            <w:r w:rsidRPr="00B25B47">
              <w:rPr>
                <w:sz w:val="19"/>
                <w:szCs w:val="19"/>
                <w:lang w:val="en-US"/>
              </w:rPr>
              <w:t xml:space="preserve"> </w:t>
            </w:r>
            <w:r w:rsidRPr="00B25B47">
              <w:rPr>
                <w:sz w:val="19"/>
                <w:szCs w:val="19"/>
              </w:rPr>
              <w:t>900</w:t>
            </w:r>
          </w:p>
        </w:tc>
      </w:tr>
      <w:tr w:rsidR="00166DD9" w:rsidRPr="00B25B47" w:rsidTr="00B25B47">
        <w:tc>
          <w:tcPr>
            <w:tcW w:w="2953" w:type="pct"/>
          </w:tcPr>
          <w:p w:rsidR="00166DD9" w:rsidRPr="00B25B47" w:rsidRDefault="00166DD9" w:rsidP="00B25B47">
            <w:pPr>
              <w:jc w:val="both"/>
              <w:rPr>
                <w:sz w:val="19"/>
                <w:szCs w:val="19"/>
                <w:lang w:val="uk-UA" w:eastAsia="uk-UA"/>
              </w:rPr>
            </w:pPr>
            <w:r w:rsidRPr="00B25B47">
              <w:rPr>
                <w:sz w:val="19"/>
                <w:szCs w:val="19"/>
                <w:lang w:val="uk-UA" w:eastAsia="uk-UA"/>
              </w:rPr>
              <w:t>Чистий прибуток (збиток) на одну просту акцію (грн)</w:t>
            </w:r>
          </w:p>
        </w:tc>
        <w:tc>
          <w:tcPr>
            <w:tcW w:w="1212" w:type="pct"/>
          </w:tcPr>
          <w:p w:rsidR="00166DD9" w:rsidRPr="00B25B47" w:rsidRDefault="00166DD9" w:rsidP="00B25B47">
            <w:pPr>
              <w:jc w:val="center"/>
              <w:rPr>
                <w:sz w:val="19"/>
                <w:szCs w:val="19"/>
                <w:lang w:val="uk-UA"/>
              </w:rPr>
            </w:pPr>
            <w:r w:rsidRPr="00B25B47">
              <w:rPr>
                <w:sz w:val="19"/>
                <w:szCs w:val="19"/>
                <w:lang w:val="uk-UA"/>
              </w:rPr>
              <w:t>1,037</w:t>
            </w:r>
          </w:p>
        </w:tc>
        <w:tc>
          <w:tcPr>
            <w:tcW w:w="835" w:type="pct"/>
          </w:tcPr>
          <w:p w:rsidR="00166DD9" w:rsidRPr="00B25B47" w:rsidRDefault="00166DD9" w:rsidP="00B25B47">
            <w:pPr>
              <w:jc w:val="center"/>
              <w:rPr>
                <w:sz w:val="19"/>
                <w:szCs w:val="19"/>
              </w:rPr>
            </w:pPr>
            <w:r w:rsidRPr="00B25B47">
              <w:rPr>
                <w:sz w:val="19"/>
                <w:szCs w:val="19"/>
              </w:rPr>
              <w:t>-0,76066</w:t>
            </w:r>
          </w:p>
        </w:tc>
      </w:tr>
    </w:tbl>
    <w:p w:rsidR="002D2086" w:rsidRPr="00B25B47" w:rsidRDefault="002D2086" w:rsidP="00B25B47">
      <w:pPr>
        <w:ind w:left="426" w:hanging="426"/>
        <w:jc w:val="both"/>
        <w:rPr>
          <w:sz w:val="19"/>
          <w:szCs w:val="19"/>
          <w:lang w:val="uk-UA"/>
        </w:rPr>
      </w:pPr>
    </w:p>
    <w:p w:rsidR="002D2086" w:rsidRPr="00B25B47" w:rsidRDefault="002D2086" w:rsidP="00B25B47">
      <w:pPr>
        <w:jc w:val="both"/>
        <w:rPr>
          <w:sz w:val="19"/>
          <w:szCs w:val="19"/>
          <w:lang w:val="uk-UA"/>
        </w:rPr>
      </w:pPr>
      <w:r w:rsidRPr="00B25B47">
        <w:rPr>
          <w:sz w:val="19"/>
          <w:szCs w:val="19"/>
          <w:lang w:val="uk-UA"/>
        </w:rPr>
        <w:t>Станом на  дату складання переліку осіб, яким надсилається повідомлення про проведення загальних зборів (станом на 2</w:t>
      </w:r>
      <w:r w:rsidR="00B109FB" w:rsidRPr="00B25B47">
        <w:rPr>
          <w:sz w:val="19"/>
          <w:szCs w:val="19"/>
          <w:lang w:val="uk-UA"/>
        </w:rPr>
        <w:t>5</w:t>
      </w:r>
      <w:r w:rsidRPr="00B25B47">
        <w:rPr>
          <w:sz w:val="19"/>
          <w:szCs w:val="19"/>
          <w:lang w:val="uk-UA"/>
        </w:rPr>
        <w:t>.02.202</w:t>
      </w:r>
      <w:r w:rsidR="00B109FB" w:rsidRPr="00B25B47">
        <w:rPr>
          <w:sz w:val="19"/>
          <w:szCs w:val="19"/>
          <w:lang w:val="uk-UA"/>
        </w:rPr>
        <w:t>1</w:t>
      </w:r>
      <w:r w:rsidRPr="00B25B47">
        <w:rPr>
          <w:sz w:val="19"/>
          <w:szCs w:val="19"/>
          <w:lang w:val="uk-UA"/>
        </w:rPr>
        <w:t xml:space="preserve"> р.) загальна кількість акцій – 1 202 900 штуки простих іменних акцій, загальна кількість голосуючих акцій – 1 202 900 штук простих іменних акцій.</w:t>
      </w:r>
    </w:p>
    <w:p w:rsidR="002D2086" w:rsidRPr="00B25B47" w:rsidRDefault="002D2086" w:rsidP="00B25B47">
      <w:pPr>
        <w:ind w:left="426" w:hanging="426"/>
        <w:jc w:val="both"/>
        <w:rPr>
          <w:b/>
          <w:sz w:val="19"/>
          <w:szCs w:val="19"/>
          <w:lang w:val="uk-UA"/>
        </w:rPr>
      </w:pPr>
      <w:r w:rsidRPr="00B25B47">
        <w:rPr>
          <w:sz w:val="19"/>
          <w:szCs w:val="19"/>
          <w:lang w:val="uk-UA"/>
        </w:rPr>
        <w:t xml:space="preserve">Дата складення переліку акціонерів, які мають право на участь у річних Загальних зборах акціонерів – </w:t>
      </w:r>
      <w:r w:rsidR="00B109FB" w:rsidRPr="00B25B47">
        <w:rPr>
          <w:b/>
          <w:sz w:val="19"/>
          <w:szCs w:val="19"/>
        </w:rPr>
        <w:t>31</w:t>
      </w:r>
      <w:r w:rsidRPr="00B25B47">
        <w:rPr>
          <w:b/>
          <w:sz w:val="19"/>
          <w:szCs w:val="19"/>
          <w:lang w:val="uk-UA"/>
        </w:rPr>
        <w:t>.0</w:t>
      </w:r>
      <w:r w:rsidR="00B109FB" w:rsidRPr="00B25B47">
        <w:rPr>
          <w:b/>
          <w:sz w:val="19"/>
          <w:szCs w:val="19"/>
          <w:lang w:val="uk-UA"/>
        </w:rPr>
        <w:t>3</w:t>
      </w:r>
      <w:r w:rsidRPr="00B25B47">
        <w:rPr>
          <w:b/>
          <w:sz w:val="19"/>
          <w:szCs w:val="19"/>
          <w:lang w:val="uk-UA"/>
        </w:rPr>
        <w:t>.202</w:t>
      </w:r>
      <w:r w:rsidR="00B109FB" w:rsidRPr="00B25B47">
        <w:rPr>
          <w:b/>
          <w:sz w:val="19"/>
          <w:szCs w:val="19"/>
          <w:lang w:val="uk-UA"/>
        </w:rPr>
        <w:t>1</w:t>
      </w:r>
      <w:r w:rsidRPr="00B25B47">
        <w:rPr>
          <w:b/>
          <w:sz w:val="19"/>
          <w:szCs w:val="19"/>
          <w:lang w:val="uk-UA"/>
        </w:rPr>
        <w:t xml:space="preserve"> року.</w:t>
      </w:r>
    </w:p>
    <w:p w:rsidR="002D2086" w:rsidRPr="00B25B47" w:rsidRDefault="002D2086" w:rsidP="00B25B47">
      <w:pPr>
        <w:pStyle w:val="a4"/>
        <w:jc w:val="both"/>
        <w:rPr>
          <w:rFonts w:ascii="Times New Roman" w:hAnsi="Times New Roman" w:cs="Times New Roman"/>
          <w:sz w:val="19"/>
          <w:szCs w:val="19"/>
          <w:lang w:val="uk-UA"/>
        </w:rPr>
      </w:pPr>
      <w:r w:rsidRPr="00B25B47">
        <w:rPr>
          <w:rFonts w:ascii="Times New Roman" w:eastAsia="Times New Roman" w:hAnsi="Times New Roman" w:cs="Times New Roman"/>
          <w:sz w:val="19"/>
          <w:szCs w:val="19"/>
          <w:lang w:val="uk-UA" w:eastAsia="ru-RU"/>
        </w:rPr>
        <w:t>Адреса власного веб-сайту, на якому розміщена інформація з проектом рішень щодо кожного з питань, включених до проекту порядку денного</w:t>
      </w:r>
      <w:r w:rsidRPr="00B25B47">
        <w:rPr>
          <w:rFonts w:ascii="Times New Roman" w:hAnsi="Times New Roman" w:cs="Times New Roman"/>
          <w:sz w:val="19"/>
          <w:szCs w:val="19"/>
          <w:lang w:val="uk-UA"/>
        </w:rPr>
        <w:t xml:space="preserve">: </w:t>
      </w:r>
      <w:r w:rsidRPr="00B25B47">
        <w:rPr>
          <w:rStyle w:val="a5"/>
          <w:rFonts w:ascii="Times New Roman" w:hAnsi="Times New Roman" w:cs="Times New Roman"/>
          <w:sz w:val="19"/>
          <w:szCs w:val="19"/>
        </w:rPr>
        <w:t>http://volyn-avto.ukravto.ua/</w:t>
      </w:r>
      <w:r w:rsidRPr="00B25B47">
        <w:rPr>
          <w:rFonts w:ascii="Times New Roman" w:hAnsi="Times New Roman" w:cs="Times New Roman"/>
          <w:sz w:val="19"/>
          <w:szCs w:val="19"/>
          <w:lang w:val="uk-UA"/>
        </w:rPr>
        <w:t xml:space="preserve">. </w:t>
      </w:r>
    </w:p>
    <w:p w:rsidR="002D2086" w:rsidRPr="00B25B47" w:rsidRDefault="002D2086" w:rsidP="00B25B47">
      <w:pPr>
        <w:suppressAutoHyphens w:val="0"/>
        <w:jc w:val="both"/>
        <w:rPr>
          <w:b/>
          <w:sz w:val="19"/>
          <w:szCs w:val="19"/>
          <w:u w:val="single"/>
          <w:lang w:val="uk-UA"/>
        </w:rPr>
      </w:pPr>
      <w:r w:rsidRPr="00B25B47">
        <w:rPr>
          <w:b/>
          <w:sz w:val="19"/>
          <w:szCs w:val="19"/>
          <w:u w:val="single"/>
          <w:lang w:val="uk-UA"/>
        </w:rPr>
        <w:t>Порядок участі та голосування на річних Загальних зборах за довіреністю:</w:t>
      </w:r>
    </w:p>
    <w:p w:rsidR="002D2086" w:rsidRPr="00B25B47" w:rsidRDefault="002D2086" w:rsidP="00B25B47">
      <w:pPr>
        <w:ind w:right="142"/>
        <w:jc w:val="both"/>
        <w:rPr>
          <w:sz w:val="19"/>
          <w:szCs w:val="19"/>
          <w:lang w:val="uk-UA"/>
        </w:rPr>
      </w:pPr>
      <w:r w:rsidRPr="00B25B47">
        <w:rPr>
          <w:sz w:val="19"/>
          <w:szCs w:val="19"/>
          <w:lang w:val="uk-UA"/>
        </w:rPr>
        <w:t xml:space="preserve">Акціонери (їх представники) реєструються для участі у річних Загальних зборах акціонерів за місцем їх проведення: початок реєстрації – о </w:t>
      </w:r>
      <w:r w:rsidR="00B109FB" w:rsidRPr="00B25B47">
        <w:rPr>
          <w:sz w:val="19"/>
          <w:szCs w:val="19"/>
          <w:lang w:val="uk-UA"/>
        </w:rPr>
        <w:t>14</w:t>
      </w:r>
      <w:r w:rsidRPr="00B25B47">
        <w:rPr>
          <w:sz w:val="19"/>
          <w:szCs w:val="19"/>
          <w:lang w:val="uk-UA"/>
        </w:rPr>
        <w:t xml:space="preserve">:00 год.; закінчення реєстрації - о </w:t>
      </w:r>
      <w:r w:rsidR="00B109FB" w:rsidRPr="00B25B47">
        <w:rPr>
          <w:sz w:val="19"/>
          <w:szCs w:val="19"/>
          <w:lang w:val="uk-UA"/>
        </w:rPr>
        <w:t>14</w:t>
      </w:r>
      <w:r w:rsidRPr="00B25B47">
        <w:rPr>
          <w:sz w:val="19"/>
          <w:szCs w:val="19"/>
          <w:lang w:val="uk-UA"/>
        </w:rPr>
        <w:t>:45 год.</w:t>
      </w:r>
    </w:p>
    <w:p w:rsidR="002D2086" w:rsidRPr="00B25B47" w:rsidRDefault="002D2086" w:rsidP="00B25B47">
      <w:pPr>
        <w:tabs>
          <w:tab w:val="left" w:pos="284"/>
        </w:tabs>
        <w:jc w:val="both"/>
        <w:rPr>
          <w:sz w:val="19"/>
          <w:szCs w:val="19"/>
          <w:lang w:val="uk-UA"/>
        </w:rPr>
      </w:pPr>
      <w:r w:rsidRPr="00B25B47">
        <w:rPr>
          <w:sz w:val="19"/>
          <w:szCs w:val="19"/>
          <w:lang w:val="uk-UA"/>
        </w:rPr>
        <w:t>Для реєстрації акціонера (його представника) для участі у річних Загальних зборах акціонерів необхідно надати:</w:t>
      </w:r>
    </w:p>
    <w:p w:rsidR="002D2086" w:rsidRPr="00B25B47" w:rsidRDefault="002D2086" w:rsidP="00B25B47">
      <w:pPr>
        <w:numPr>
          <w:ilvl w:val="0"/>
          <w:numId w:val="2"/>
        </w:numPr>
        <w:suppressAutoHyphens w:val="0"/>
        <w:ind w:left="284" w:hanging="284"/>
        <w:jc w:val="both"/>
        <w:rPr>
          <w:sz w:val="19"/>
          <w:szCs w:val="19"/>
          <w:lang w:val="uk-UA"/>
        </w:rPr>
      </w:pPr>
      <w:r w:rsidRPr="00B25B47">
        <w:rPr>
          <w:sz w:val="19"/>
          <w:szCs w:val="19"/>
          <w:lang w:val="uk-UA"/>
        </w:rPr>
        <w:t>акціонеру – документ, що посвідчує особу (паспорт);</w:t>
      </w:r>
    </w:p>
    <w:p w:rsidR="002D2086" w:rsidRPr="00B25B47" w:rsidRDefault="002D2086" w:rsidP="00B25B47">
      <w:pPr>
        <w:numPr>
          <w:ilvl w:val="0"/>
          <w:numId w:val="2"/>
        </w:numPr>
        <w:suppressAutoHyphens w:val="0"/>
        <w:ind w:left="284" w:hanging="284"/>
        <w:jc w:val="both"/>
        <w:rPr>
          <w:sz w:val="19"/>
          <w:szCs w:val="19"/>
          <w:lang w:val="uk-UA"/>
        </w:rPr>
      </w:pPr>
      <w:r w:rsidRPr="00B25B47">
        <w:rPr>
          <w:sz w:val="19"/>
          <w:szCs w:val="19"/>
          <w:lang w:val="uk-UA"/>
        </w:rPr>
        <w:t>представнику (довіреній особі) – документ, що посвідчує особу (паспорт) та довіреність для участі в річних Загальних зборах акціонерів, оформлену згідно законодавства України; для керівників юридичних осіб – документ, що посвідчує особу (паспорт), документ про призначення на посаду та оригінал виписки зі статуту акціонера – юридичної особи, у якій визначені повноваження керівника або нотаріальна копія статуту акціонера – юридичної особи.</w:t>
      </w:r>
    </w:p>
    <w:p w:rsidR="002D2086" w:rsidRPr="00B25B47" w:rsidRDefault="002D2086" w:rsidP="00B25B47">
      <w:pPr>
        <w:suppressAutoHyphens w:val="0"/>
        <w:jc w:val="both"/>
        <w:rPr>
          <w:sz w:val="19"/>
          <w:szCs w:val="19"/>
          <w:lang w:val="uk-UA"/>
        </w:rPr>
      </w:pPr>
      <w:r w:rsidRPr="00B25B47">
        <w:rPr>
          <w:sz w:val="19"/>
          <w:szCs w:val="19"/>
          <w:lang w:val="uk-UA"/>
        </w:rPr>
        <w:t>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уповноваженою на це її установчими документами.</w:t>
      </w:r>
    </w:p>
    <w:p w:rsidR="002D2086" w:rsidRPr="00B25B47" w:rsidRDefault="002D2086" w:rsidP="00B25B47">
      <w:pPr>
        <w:jc w:val="both"/>
        <w:rPr>
          <w:rFonts w:cs="Times New Roman"/>
          <w:sz w:val="19"/>
          <w:szCs w:val="19"/>
          <w:lang w:val="uk-UA"/>
        </w:rPr>
      </w:pPr>
      <w:r w:rsidRPr="00B25B47">
        <w:rPr>
          <w:rFonts w:cs="Times New Roman"/>
          <w:sz w:val="19"/>
          <w:szCs w:val="19"/>
          <w:lang w:val="uk-UA"/>
        </w:rPr>
        <w:t xml:space="preserve">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w:t>
      </w:r>
    </w:p>
    <w:p w:rsidR="002D2086" w:rsidRPr="00B25B47" w:rsidRDefault="002D2086" w:rsidP="00B25B47">
      <w:pPr>
        <w:jc w:val="both"/>
        <w:rPr>
          <w:rFonts w:cs="Times New Roman"/>
          <w:sz w:val="19"/>
          <w:szCs w:val="19"/>
          <w:lang w:val="uk-UA"/>
        </w:rPr>
      </w:pPr>
      <w:r w:rsidRPr="00B25B47">
        <w:rPr>
          <w:rFonts w:cs="Times New Roman"/>
          <w:sz w:val="19"/>
          <w:szCs w:val="19"/>
          <w:lang w:val="uk-UA"/>
        </w:rPr>
        <w:t xml:space="preserve">Акціонер має право видати довіреність на право участі та голосування на загальних зборах декільком своїм представникам, а також може у будь-який час відкликати чи замінити свого представника на загальних зборах акціонерного товариства. </w:t>
      </w:r>
    </w:p>
    <w:p w:rsidR="002D2086" w:rsidRPr="00B25B47" w:rsidRDefault="002D2086" w:rsidP="00B25B47">
      <w:pPr>
        <w:jc w:val="both"/>
        <w:rPr>
          <w:rFonts w:cs="Times New Roman"/>
          <w:sz w:val="19"/>
          <w:szCs w:val="19"/>
          <w:lang w:val="uk-UA"/>
        </w:rPr>
      </w:pPr>
      <w:r w:rsidRPr="00B25B47">
        <w:rPr>
          <w:rFonts w:cs="Times New Roman"/>
          <w:sz w:val="19"/>
          <w:szCs w:val="19"/>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D2086" w:rsidRPr="00B25B47" w:rsidRDefault="002D2086" w:rsidP="00B25B47">
      <w:pPr>
        <w:jc w:val="both"/>
        <w:rPr>
          <w:rFonts w:cs="Times New Roman"/>
          <w:b/>
          <w:sz w:val="19"/>
          <w:szCs w:val="19"/>
          <w:u w:val="single"/>
          <w:lang w:val="uk-UA"/>
        </w:rPr>
      </w:pPr>
      <w:r w:rsidRPr="00B25B47">
        <w:rPr>
          <w:rFonts w:cs="Times New Roman"/>
          <w:b/>
          <w:sz w:val="19"/>
          <w:szCs w:val="19"/>
          <w:u w:val="single"/>
          <w:lang w:val="uk-UA"/>
        </w:rPr>
        <w:t xml:space="preserve">Внесення пропозицій до проекту порядку денного річних Загальних зборів: </w:t>
      </w:r>
    </w:p>
    <w:p w:rsidR="002D2086" w:rsidRPr="00B25B47" w:rsidRDefault="002D2086" w:rsidP="00B25B47">
      <w:pPr>
        <w:jc w:val="both"/>
        <w:rPr>
          <w:rFonts w:cs="Times New Roman"/>
          <w:sz w:val="19"/>
          <w:szCs w:val="19"/>
          <w:lang w:val="uk-UA"/>
        </w:rPr>
      </w:pPr>
      <w:r w:rsidRPr="00B25B47">
        <w:rPr>
          <w:rFonts w:cs="Times New Roman"/>
          <w:sz w:val="19"/>
          <w:szCs w:val="19"/>
          <w:lang w:val="uk-UA"/>
        </w:rPr>
        <w:t xml:space="preserve">Акціонери мають право вносити пропозиції щодо питань, включених до проекту порядку денного річних Загальних зборів акціонерного товариства - не пізніше ніж за 20 днів до дати їх проведення, а також щодо нових кандидатів до складу органів товариства - не пізніше ніж за 7 днів до дати їх проведення річних Загальних зборів. Пропозиції щодо включення нових питань до проекту порядку денного повинні містити відповідні проекти рішень з цих питань. </w:t>
      </w:r>
    </w:p>
    <w:p w:rsidR="002D2086" w:rsidRPr="00B25B47" w:rsidRDefault="002D2086" w:rsidP="00B25B47">
      <w:pPr>
        <w:jc w:val="both"/>
        <w:rPr>
          <w:rFonts w:cs="Times New Roman"/>
          <w:sz w:val="19"/>
          <w:szCs w:val="19"/>
          <w:lang w:val="uk-UA"/>
        </w:rPr>
      </w:pPr>
      <w:r w:rsidRPr="00B25B47">
        <w:rPr>
          <w:rFonts w:cs="Times New Roman"/>
          <w:sz w:val="19"/>
          <w:szCs w:val="19"/>
          <w:lang w:val="uk-UA"/>
        </w:rPr>
        <w:t xml:space="preserve">Пропозиція до проекту порядку денного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w:t>
      </w:r>
    </w:p>
    <w:p w:rsidR="002D2086" w:rsidRPr="00B25B47" w:rsidRDefault="002D2086" w:rsidP="00B25B47">
      <w:pPr>
        <w:jc w:val="both"/>
        <w:rPr>
          <w:sz w:val="19"/>
          <w:szCs w:val="19"/>
          <w:lang w:val="uk-UA"/>
        </w:rPr>
      </w:pPr>
      <w:r w:rsidRPr="00B25B47">
        <w:rPr>
          <w:b/>
          <w:sz w:val="19"/>
          <w:szCs w:val="19"/>
          <w:u w:val="single"/>
          <w:lang w:val="uk-UA"/>
        </w:rPr>
        <w:t>Порядок ознайомлення акціонерів (їх представників) з матеріалами, з якими вони можуть ознайомитися під час підготовки до річних Загальних зборів акціонерів:</w:t>
      </w:r>
    </w:p>
    <w:p w:rsidR="002D2086" w:rsidRPr="00B25B47" w:rsidRDefault="002D2086" w:rsidP="00B25B47">
      <w:pPr>
        <w:jc w:val="both"/>
        <w:rPr>
          <w:sz w:val="19"/>
          <w:szCs w:val="19"/>
          <w:lang w:val="uk-UA"/>
        </w:rPr>
      </w:pPr>
      <w:r w:rsidRPr="00B25B47">
        <w:rPr>
          <w:sz w:val="19"/>
          <w:szCs w:val="19"/>
          <w:lang w:val="uk-UA"/>
        </w:rPr>
        <w:t xml:space="preserve">Акціонери (їх представники) можуть ознайомитися з документами, необхідними для прийняття рішень з питань порядку денного, за місцезнаходженням Товариства: Україна, 43020, Волинська обл., м. Луцьк вул. Рівненська, 145, каб. №1, до дати проведення річних зборів в робочі дні: понеділок – п’ятниця з 10:00 до 17:00 та в день проведення річних Загальних зборів акціонерів за адресою: Україна, 43020, Волинська обл., м. Луцьк вул. Рівненська, 145, каб. №10.  Посадова особа, відповідальна за порядок ознайомлення акціонерів з документами – </w:t>
      </w:r>
      <w:r w:rsidR="004F291B" w:rsidRPr="00B25B47">
        <w:rPr>
          <w:sz w:val="19"/>
          <w:szCs w:val="19"/>
          <w:lang w:val="uk-UA"/>
        </w:rPr>
        <w:t xml:space="preserve">В.о. </w:t>
      </w:r>
      <w:r w:rsidRPr="00B25B47">
        <w:rPr>
          <w:sz w:val="19"/>
          <w:szCs w:val="19"/>
          <w:lang w:val="uk-UA"/>
        </w:rPr>
        <w:t>Генеральн</w:t>
      </w:r>
      <w:r w:rsidR="004F291B" w:rsidRPr="00B25B47">
        <w:rPr>
          <w:sz w:val="19"/>
          <w:szCs w:val="19"/>
          <w:lang w:val="uk-UA"/>
        </w:rPr>
        <w:t>ого</w:t>
      </w:r>
      <w:r w:rsidRPr="00B25B47">
        <w:rPr>
          <w:sz w:val="19"/>
          <w:szCs w:val="19"/>
          <w:lang w:val="uk-UA"/>
        </w:rPr>
        <w:t xml:space="preserve"> директор</w:t>
      </w:r>
      <w:r w:rsidR="004F291B" w:rsidRPr="00B25B47">
        <w:rPr>
          <w:sz w:val="19"/>
          <w:szCs w:val="19"/>
          <w:lang w:val="uk-UA"/>
        </w:rPr>
        <w:t>а</w:t>
      </w:r>
      <w:r w:rsidRPr="00B25B47">
        <w:rPr>
          <w:sz w:val="19"/>
          <w:szCs w:val="19"/>
          <w:lang w:val="uk-UA"/>
        </w:rPr>
        <w:t xml:space="preserve"> Корольчук Юрій </w:t>
      </w:r>
      <w:r w:rsidR="00B109FB" w:rsidRPr="00B25B47">
        <w:rPr>
          <w:sz w:val="19"/>
          <w:szCs w:val="19"/>
          <w:lang w:val="uk-UA"/>
        </w:rPr>
        <w:t>Юрійович</w:t>
      </w:r>
      <w:r w:rsidRPr="00B25B47">
        <w:rPr>
          <w:sz w:val="19"/>
          <w:szCs w:val="19"/>
          <w:lang w:val="uk-UA"/>
        </w:rPr>
        <w:t>. Контактна особа – Сорока Олена Василівна. Довідки за телефоном: (0332) 28 18 00.</w:t>
      </w:r>
    </w:p>
    <w:p w:rsidR="002D2086" w:rsidRPr="00B25B47" w:rsidRDefault="002D2086" w:rsidP="00B25B47">
      <w:pPr>
        <w:pStyle w:val="a4"/>
        <w:jc w:val="both"/>
        <w:rPr>
          <w:rFonts w:ascii="Times New Roman" w:hAnsi="Times New Roman" w:cs="Times New Roman"/>
          <w:sz w:val="19"/>
          <w:szCs w:val="19"/>
          <w:lang w:val="uk-UA"/>
        </w:rPr>
      </w:pPr>
      <w:r w:rsidRPr="00B25B47">
        <w:rPr>
          <w:rFonts w:ascii="Times New Roman" w:hAnsi="Times New Roman" w:cs="Times New Roman"/>
          <w:sz w:val="19"/>
          <w:szCs w:val="19"/>
          <w:lang w:val="uk-UA"/>
        </w:rPr>
        <w:t>Підтверджую достовірність інформації, що міститься у повідомленні.</w:t>
      </w:r>
    </w:p>
    <w:p w:rsidR="002D2086" w:rsidRPr="00B25B47" w:rsidRDefault="002D2086" w:rsidP="00B25B47">
      <w:pPr>
        <w:rPr>
          <w:b/>
          <w:sz w:val="19"/>
          <w:szCs w:val="19"/>
          <w:lang w:val="uk-UA"/>
        </w:rPr>
      </w:pPr>
    </w:p>
    <w:p w:rsidR="004F3B88" w:rsidRPr="00B25B47" w:rsidRDefault="00B109FB" w:rsidP="005F2607">
      <w:pPr>
        <w:rPr>
          <w:b/>
          <w:sz w:val="19"/>
          <w:szCs w:val="19"/>
          <w:lang w:val="uk-UA"/>
        </w:rPr>
      </w:pPr>
      <w:r w:rsidRPr="00B25B47">
        <w:rPr>
          <w:b/>
          <w:sz w:val="19"/>
          <w:szCs w:val="19"/>
          <w:lang w:val="uk-UA"/>
        </w:rPr>
        <w:t xml:space="preserve">В.о. </w:t>
      </w:r>
      <w:r w:rsidR="002D2086" w:rsidRPr="00B25B47">
        <w:rPr>
          <w:b/>
          <w:sz w:val="19"/>
          <w:szCs w:val="19"/>
          <w:lang w:val="uk-UA"/>
        </w:rPr>
        <w:t>Генеральн</w:t>
      </w:r>
      <w:r w:rsidRPr="00B25B47">
        <w:rPr>
          <w:b/>
          <w:sz w:val="19"/>
          <w:szCs w:val="19"/>
          <w:lang w:val="uk-UA"/>
        </w:rPr>
        <w:t>ого директора</w:t>
      </w:r>
      <w:r w:rsidRPr="00B25B47">
        <w:rPr>
          <w:b/>
          <w:sz w:val="19"/>
          <w:szCs w:val="19"/>
          <w:lang w:val="uk-UA"/>
        </w:rPr>
        <w:tab/>
      </w:r>
      <w:r w:rsidRPr="00B25B47">
        <w:rPr>
          <w:b/>
          <w:sz w:val="19"/>
          <w:szCs w:val="19"/>
          <w:lang w:val="uk-UA"/>
        </w:rPr>
        <w:tab/>
      </w:r>
      <w:r w:rsidRPr="00B25B47">
        <w:rPr>
          <w:b/>
          <w:sz w:val="19"/>
          <w:szCs w:val="19"/>
          <w:lang w:val="uk-UA"/>
        </w:rPr>
        <w:tab/>
      </w:r>
      <w:r w:rsidRPr="00B25B47">
        <w:rPr>
          <w:b/>
          <w:sz w:val="19"/>
          <w:szCs w:val="19"/>
          <w:lang w:val="uk-UA"/>
        </w:rPr>
        <w:tab/>
      </w:r>
      <w:r w:rsidRPr="00B25B47">
        <w:rPr>
          <w:b/>
          <w:sz w:val="19"/>
          <w:szCs w:val="19"/>
          <w:lang w:val="uk-UA"/>
        </w:rPr>
        <w:tab/>
      </w:r>
      <w:r w:rsidRPr="00B25B47">
        <w:rPr>
          <w:b/>
          <w:sz w:val="19"/>
          <w:szCs w:val="19"/>
          <w:lang w:val="uk-UA"/>
        </w:rPr>
        <w:tab/>
      </w:r>
      <w:r w:rsidRPr="00B25B47">
        <w:rPr>
          <w:b/>
          <w:sz w:val="19"/>
          <w:szCs w:val="19"/>
          <w:lang w:val="uk-UA"/>
        </w:rPr>
        <w:tab/>
        <w:t>Корольчук Юрій Юрійович</w:t>
      </w:r>
    </w:p>
    <w:sectPr w:rsidR="004F3B88" w:rsidRPr="00B25B47" w:rsidSect="005F2607">
      <w:pgSz w:w="11906" w:h="16838"/>
      <w:pgMar w:top="567" w:right="707" w:bottom="426" w:left="851" w:header="708"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085" w:rsidRDefault="00FA0085" w:rsidP="00A05185">
      <w:r>
        <w:separator/>
      </w:r>
    </w:p>
  </w:endnote>
  <w:endnote w:type="continuationSeparator" w:id="0">
    <w:p w:rsidR="00FA0085" w:rsidRDefault="00FA0085" w:rsidP="00A0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085" w:rsidRDefault="00FA0085" w:rsidP="00A05185">
      <w:r>
        <w:separator/>
      </w:r>
    </w:p>
  </w:footnote>
  <w:footnote w:type="continuationSeparator" w:id="0">
    <w:p w:rsidR="00FA0085" w:rsidRDefault="00FA0085" w:rsidP="00A0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73066E5"/>
    <w:multiLevelType w:val="multilevel"/>
    <w:tmpl w:val="1486AB7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0C9142A0"/>
    <w:multiLevelType w:val="multilevel"/>
    <w:tmpl w:val="6EE47ED8"/>
    <w:lvl w:ilvl="0">
      <w:start w:val="2"/>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0B52C3C"/>
    <w:multiLevelType w:val="hybridMultilevel"/>
    <w:tmpl w:val="7D6294B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BD3807"/>
    <w:multiLevelType w:val="hybridMultilevel"/>
    <w:tmpl w:val="6948758E"/>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E21BB9"/>
    <w:multiLevelType w:val="hybridMultilevel"/>
    <w:tmpl w:val="C4CEC22E"/>
    <w:lvl w:ilvl="0" w:tplc="0ACC9EE4">
      <w:start w:val="1"/>
      <w:numFmt w:val="bullet"/>
      <w:lvlText w:val="-"/>
      <w:lvlJc w:val="left"/>
      <w:pPr>
        <w:ind w:left="5606" w:hanging="360"/>
      </w:pPr>
      <w:rPr>
        <w:rFonts w:ascii="Calibri" w:eastAsia="Times New Roman" w:hAnsi="Calibri" w:hint="default"/>
      </w:rPr>
    </w:lvl>
    <w:lvl w:ilvl="1" w:tplc="04220003">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6" w15:restartNumberingAfterBreak="0">
    <w:nsid w:val="30264CF4"/>
    <w:multiLevelType w:val="multilevel"/>
    <w:tmpl w:val="BE86B8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BE43B4"/>
    <w:multiLevelType w:val="multilevel"/>
    <w:tmpl w:val="0968292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E197DBB"/>
    <w:multiLevelType w:val="hybridMultilevel"/>
    <w:tmpl w:val="948409D2"/>
    <w:lvl w:ilvl="0" w:tplc="DE3C1F64">
      <w:start w:val="3"/>
      <w:numFmt w:val="bullet"/>
      <w:lvlText w:val="-"/>
      <w:lvlJc w:val="left"/>
      <w:pPr>
        <w:ind w:left="644"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 w15:restartNumberingAfterBreak="0">
    <w:nsid w:val="439908E9"/>
    <w:multiLevelType w:val="hybridMultilevel"/>
    <w:tmpl w:val="53B0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035D21"/>
    <w:multiLevelType w:val="hybridMultilevel"/>
    <w:tmpl w:val="54B29058"/>
    <w:lvl w:ilvl="0" w:tplc="CFD010CA">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F815E30"/>
    <w:multiLevelType w:val="multilevel"/>
    <w:tmpl w:val="1526A08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2" w15:restartNumberingAfterBreak="0">
    <w:nsid w:val="69386578"/>
    <w:multiLevelType w:val="hybridMultilevel"/>
    <w:tmpl w:val="E214ABF8"/>
    <w:lvl w:ilvl="0" w:tplc="1408C6F6">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563015"/>
    <w:multiLevelType w:val="hybridMultilevel"/>
    <w:tmpl w:val="BF86F066"/>
    <w:lvl w:ilvl="0" w:tplc="E7564B2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41B0D40"/>
    <w:multiLevelType w:val="hybridMultilevel"/>
    <w:tmpl w:val="1EFADD38"/>
    <w:lvl w:ilvl="0" w:tplc="020012EE">
      <w:start w:val="2"/>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num w:numId="1">
    <w:abstractNumId w:val="0"/>
  </w:num>
  <w:num w:numId="2">
    <w:abstractNumId w:val="14"/>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7"/>
  </w:num>
  <w:num w:numId="9">
    <w:abstractNumId w:val="1"/>
  </w:num>
  <w:num w:numId="10">
    <w:abstractNumId w:val="10"/>
  </w:num>
  <w:num w:numId="11">
    <w:abstractNumId w:val="5"/>
  </w:num>
  <w:num w:numId="12">
    <w:abstractNumId w:val="13"/>
  </w:num>
  <w:num w:numId="13">
    <w:abstractNumId w:val="12"/>
  </w:num>
  <w:num w:numId="14">
    <w:abstractNumId w:val="11"/>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E7D"/>
    <w:rsid w:val="00014E5E"/>
    <w:rsid w:val="00016EA4"/>
    <w:rsid w:val="00031411"/>
    <w:rsid w:val="00032D16"/>
    <w:rsid w:val="000350F0"/>
    <w:rsid w:val="00061051"/>
    <w:rsid w:val="00077ED7"/>
    <w:rsid w:val="00085ED7"/>
    <w:rsid w:val="000A161C"/>
    <w:rsid w:val="000A4EF4"/>
    <w:rsid w:val="000C2835"/>
    <w:rsid w:val="00115CAD"/>
    <w:rsid w:val="00127DD2"/>
    <w:rsid w:val="001515C1"/>
    <w:rsid w:val="001579C2"/>
    <w:rsid w:val="00166DD9"/>
    <w:rsid w:val="001807D8"/>
    <w:rsid w:val="00185AB3"/>
    <w:rsid w:val="00187977"/>
    <w:rsid w:val="00197335"/>
    <w:rsid w:val="001E0D4A"/>
    <w:rsid w:val="001E62EB"/>
    <w:rsid w:val="002D2086"/>
    <w:rsid w:val="002D70B8"/>
    <w:rsid w:val="002D77EE"/>
    <w:rsid w:val="003406B1"/>
    <w:rsid w:val="003863BB"/>
    <w:rsid w:val="003F20E2"/>
    <w:rsid w:val="00456C7A"/>
    <w:rsid w:val="0048282C"/>
    <w:rsid w:val="004846E2"/>
    <w:rsid w:val="00497853"/>
    <w:rsid w:val="004A4E03"/>
    <w:rsid w:val="004B15AA"/>
    <w:rsid w:val="004D114F"/>
    <w:rsid w:val="004D3764"/>
    <w:rsid w:val="004F291B"/>
    <w:rsid w:val="004F3B88"/>
    <w:rsid w:val="00507342"/>
    <w:rsid w:val="00547A3F"/>
    <w:rsid w:val="00573A0A"/>
    <w:rsid w:val="005A2E7D"/>
    <w:rsid w:val="005B54A2"/>
    <w:rsid w:val="005B729F"/>
    <w:rsid w:val="005F2607"/>
    <w:rsid w:val="00601D14"/>
    <w:rsid w:val="00615629"/>
    <w:rsid w:val="00616549"/>
    <w:rsid w:val="00616DB0"/>
    <w:rsid w:val="006961BD"/>
    <w:rsid w:val="006B5FEB"/>
    <w:rsid w:val="006E0F0A"/>
    <w:rsid w:val="006F2D63"/>
    <w:rsid w:val="007011FB"/>
    <w:rsid w:val="00707F33"/>
    <w:rsid w:val="0077452B"/>
    <w:rsid w:val="0077649A"/>
    <w:rsid w:val="007829E6"/>
    <w:rsid w:val="0079314D"/>
    <w:rsid w:val="007F05C4"/>
    <w:rsid w:val="007F3B27"/>
    <w:rsid w:val="007F61F0"/>
    <w:rsid w:val="00810663"/>
    <w:rsid w:val="008636B1"/>
    <w:rsid w:val="00875BAE"/>
    <w:rsid w:val="008A3F1E"/>
    <w:rsid w:val="008B4CA5"/>
    <w:rsid w:val="008C1B21"/>
    <w:rsid w:val="0090586C"/>
    <w:rsid w:val="009117C4"/>
    <w:rsid w:val="00926EBE"/>
    <w:rsid w:val="00932B88"/>
    <w:rsid w:val="00954240"/>
    <w:rsid w:val="0095730F"/>
    <w:rsid w:val="00964E26"/>
    <w:rsid w:val="00966DA3"/>
    <w:rsid w:val="009F2D5A"/>
    <w:rsid w:val="00A05185"/>
    <w:rsid w:val="00AC3737"/>
    <w:rsid w:val="00AD7855"/>
    <w:rsid w:val="00AE3593"/>
    <w:rsid w:val="00B109FB"/>
    <w:rsid w:val="00B25B47"/>
    <w:rsid w:val="00B505A0"/>
    <w:rsid w:val="00C14966"/>
    <w:rsid w:val="00C2384C"/>
    <w:rsid w:val="00C36BF5"/>
    <w:rsid w:val="00C6734B"/>
    <w:rsid w:val="00C77FB6"/>
    <w:rsid w:val="00C87935"/>
    <w:rsid w:val="00CB2768"/>
    <w:rsid w:val="00CB71A4"/>
    <w:rsid w:val="00CC0DBE"/>
    <w:rsid w:val="00CD31C0"/>
    <w:rsid w:val="00CE3E37"/>
    <w:rsid w:val="00D007DE"/>
    <w:rsid w:val="00D3167C"/>
    <w:rsid w:val="00DC4B13"/>
    <w:rsid w:val="00DD7C67"/>
    <w:rsid w:val="00DF0923"/>
    <w:rsid w:val="00DF5A1F"/>
    <w:rsid w:val="00E06E7E"/>
    <w:rsid w:val="00E26036"/>
    <w:rsid w:val="00E45394"/>
    <w:rsid w:val="00E87747"/>
    <w:rsid w:val="00ED2EA9"/>
    <w:rsid w:val="00F234B7"/>
    <w:rsid w:val="00F27132"/>
    <w:rsid w:val="00F30D11"/>
    <w:rsid w:val="00FA0085"/>
    <w:rsid w:val="00FC5353"/>
    <w:rsid w:val="00FD661A"/>
    <w:rsid w:val="00FE4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08DD01-0B53-4F46-96C2-F008D0A6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7D"/>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
    <w:next w:val="a"/>
    <w:link w:val="10"/>
    <w:qFormat/>
    <w:rsid w:val="005A2E7D"/>
    <w:pPr>
      <w:keepNext/>
      <w:numPr>
        <w:numId w:val="1"/>
      </w:numPr>
      <w:jc w:val="center"/>
      <w:outlineLvl w:val="0"/>
    </w:pPr>
    <w:rPr>
      <w:b/>
      <w:bCs/>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2E7D"/>
    <w:rPr>
      <w:rFonts w:ascii="Times New Roman" w:eastAsia="Times New Roman" w:hAnsi="Times New Roman" w:cs="Calibri"/>
      <w:b/>
      <w:bCs/>
      <w:i/>
      <w:iCs/>
      <w:sz w:val="24"/>
      <w:szCs w:val="24"/>
      <w:lang w:val="x-none" w:eastAsia="ar-SA"/>
    </w:rPr>
  </w:style>
  <w:style w:type="paragraph" w:styleId="a3">
    <w:name w:val="Normal (Web)"/>
    <w:basedOn w:val="a"/>
    <w:uiPriority w:val="99"/>
    <w:rsid w:val="005A2E7D"/>
    <w:pPr>
      <w:suppressAutoHyphens w:val="0"/>
      <w:spacing w:before="100" w:beforeAutospacing="1" w:after="100" w:afterAutospacing="1"/>
    </w:pPr>
    <w:rPr>
      <w:rFonts w:eastAsia="SimSun" w:cs="Times New Roman"/>
      <w:lang w:val="uk-UA" w:eastAsia="zh-CN"/>
    </w:rPr>
  </w:style>
  <w:style w:type="paragraph" w:customStyle="1" w:styleId="a4">
    <w:name w:val="Текст в заданном формате"/>
    <w:basedOn w:val="a"/>
    <w:rsid w:val="005A2E7D"/>
    <w:rPr>
      <w:rFonts w:ascii="Courier New" w:eastAsia="Courier New" w:hAnsi="Courier New" w:cs="Courier New"/>
      <w:sz w:val="20"/>
      <w:szCs w:val="20"/>
      <w:lang w:eastAsia="zh-CN"/>
    </w:rPr>
  </w:style>
  <w:style w:type="character" w:styleId="a5">
    <w:name w:val="Hyperlink"/>
    <w:uiPriority w:val="99"/>
    <w:unhideWhenUsed/>
    <w:rsid w:val="005A2E7D"/>
    <w:rPr>
      <w:color w:val="0563C1"/>
      <w:u w:val="single"/>
    </w:rPr>
  </w:style>
  <w:style w:type="paragraph" w:styleId="a6">
    <w:name w:val="List Paragraph"/>
    <w:basedOn w:val="a"/>
    <w:uiPriority w:val="34"/>
    <w:qFormat/>
    <w:rsid w:val="00AC3737"/>
    <w:pPr>
      <w:suppressAutoHyphens w:val="0"/>
      <w:ind w:left="720"/>
      <w:contextualSpacing/>
    </w:pPr>
    <w:rPr>
      <w:rFonts w:cs="Times New Roman"/>
      <w:lang w:val="uk-UA" w:eastAsia="uk-UA"/>
    </w:rPr>
  </w:style>
  <w:style w:type="paragraph" w:styleId="a7">
    <w:name w:val="Body Text Indent"/>
    <w:basedOn w:val="a"/>
    <w:link w:val="a8"/>
    <w:uiPriority w:val="99"/>
    <w:rsid w:val="00AC3737"/>
    <w:pPr>
      <w:suppressAutoHyphens w:val="0"/>
      <w:ind w:left="426"/>
      <w:jc w:val="both"/>
    </w:pPr>
    <w:rPr>
      <w:rFonts w:cs="Times New Roman"/>
      <w:i/>
      <w:sz w:val="22"/>
      <w:szCs w:val="20"/>
      <w:lang w:eastAsia="ru-RU"/>
    </w:rPr>
  </w:style>
  <w:style w:type="character" w:customStyle="1" w:styleId="a8">
    <w:name w:val="Основной текст с отступом Знак"/>
    <w:basedOn w:val="a0"/>
    <w:link w:val="a7"/>
    <w:uiPriority w:val="99"/>
    <w:rsid w:val="00AC3737"/>
    <w:rPr>
      <w:rFonts w:ascii="Times New Roman" w:eastAsia="Times New Roman" w:hAnsi="Times New Roman" w:cs="Times New Roman"/>
      <w:i/>
      <w:szCs w:val="20"/>
      <w:lang w:eastAsia="ru-RU"/>
    </w:rPr>
  </w:style>
  <w:style w:type="paragraph" w:styleId="2">
    <w:name w:val="Body Text Indent 2"/>
    <w:basedOn w:val="a"/>
    <w:link w:val="20"/>
    <w:uiPriority w:val="99"/>
    <w:semiHidden/>
    <w:unhideWhenUsed/>
    <w:rsid w:val="00AC3737"/>
    <w:pPr>
      <w:suppressAutoHyphens w:val="0"/>
      <w:spacing w:after="120" w:line="480" w:lineRule="auto"/>
      <w:ind w:left="283"/>
    </w:pPr>
    <w:rPr>
      <w:rFonts w:cs="Times New Roman"/>
      <w:lang w:eastAsia="ru-RU"/>
    </w:rPr>
  </w:style>
  <w:style w:type="character" w:customStyle="1" w:styleId="20">
    <w:name w:val="Основной текст с отступом 2 Знак"/>
    <w:basedOn w:val="a0"/>
    <w:link w:val="2"/>
    <w:uiPriority w:val="99"/>
    <w:semiHidden/>
    <w:rsid w:val="00AC3737"/>
    <w:rPr>
      <w:rFonts w:ascii="Times New Roman" w:eastAsia="Times New Roman" w:hAnsi="Times New Roman" w:cs="Times New Roman"/>
      <w:sz w:val="24"/>
      <w:szCs w:val="24"/>
      <w:lang w:eastAsia="ru-RU"/>
    </w:rPr>
  </w:style>
  <w:style w:type="paragraph" w:styleId="a9">
    <w:name w:val="Plain Text"/>
    <w:basedOn w:val="a"/>
    <w:link w:val="aa"/>
    <w:uiPriority w:val="99"/>
    <w:rsid w:val="00AC3737"/>
    <w:pPr>
      <w:suppressAutoHyphens w:val="0"/>
      <w:spacing w:line="240" w:lineRule="atLeast"/>
      <w:jc w:val="both"/>
    </w:pPr>
    <w:rPr>
      <w:rFonts w:ascii="Courier New" w:hAnsi="Courier New" w:cs="Times New Roman"/>
      <w:sz w:val="20"/>
      <w:szCs w:val="20"/>
      <w:lang w:val="de-AT" w:eastAsia="de-DE"/>
    </w:rPr>
  </w:style>
  <w:style w:type="character" w:customStyle="1" w:styleId="aa">
    <w:name w:val="Текст Знак"/>
    <w:basedOn w:val="a0"/>
    <w:link w:val="a9"/>
    <w:uiPriority w:val="99"/>
    <w:rsid w:val="00AC3737"/>
    <w:rPr>
      <w:rFonts w:ascii="Courier New" w:eastAsia="Times New Roman" w:hAnsi="Courier New" w:cs="Times New Roman"/>
      <w:sz w:val="20"/>
      <w:szCs w:val="20"/>
      <w:lang w:val="de-AT" w:eastAsia="de-DE"/>
    </w:rPr>
  </w:style>
  <w:style w:type="paragraph" w:styleId="ab">
    <w:name w:val="header"/>
    <w:basedOn w:val="a"/>
    <w:link w:val="ac"/>
    <w:uiPriority w:val="99"/>
    <w:unhideWhenUsed/>
    <w:rsid w:val="00A05185"/>
    <w:pPr>
      <w:tabs>
        <w:tab w:val="center" w:pos="4677"/>
        <w:tab w:val="right" w:pos="9355"/>
      </w:tabs>
    </w:pPr>
  </w:style>
  <w:style w:type="character" w:customStyle="1" w:styleId="ac">
    <w:name w:val="Верхний колонтитул Знак"/>
    <w:basedOn w:val="a0"/>
    <w:link w:val="ab"/>
    <w:uiPriority w:val="99"/>
    <w:rsid w:val="00A05185"/>
    <w:rPr>
      <w:rFonts w:ascii="Times New Roman" w:eastAsia="Times New Roman" w:hAnsi="Times New Roman" w:cs="Calibri"/>
      <w:sz w:val="24"/>
      <w:szCs w:val="24"/>
      <w:lang w:eastAsia="ar-SA"/>
    </w:rPr>
  </w:style>
  <w:style w:type="paragraph" w:styleId="ad">
    <w:name w:val="footer"/>
    <w:basedOn w:val="a"/>
    <w:link w:val="ae"/>
    <w:uiPriority w:val="99"/>
    <w:unhideWhenUsed/>
    <w:rsid w:val="00A05185"/>
    <w:pPr>
      <w:tabs>
        <w:tab w:val="center" w:pos="4677"/>
        <w:tab w:val="right" w:pos="9355"/>
      </w:tabs>
    </w:pPr>
  </w:style>
  <w:style w:type="character" w:customStyle="1" w:styleId="ae">
    <w:name w:val="Нижний колонтитул Знак"/>
    <w:basedOn w:val="a0"/>
    <w:link w:val="ad"/>
    <w:uiPriority w:val="99"/>
    <w:rsid w:val="00A05185"/>
    <w:rPr>
      <w:rFonts w:ascii="Times New Roman" w:eastAsia="Times New Roman" w:hAnsi="Times New Roman" w:cs="Calibri"/>
      <w:sz w:val="24"/>
      <w:szCs w:val="24"/>
      <w:lang w:eastAsia="ar-SA"/>
    </w:rPr>
  </w:style>
  <w:style w:type="paragraph" w:styleId="af">
    <w:name w:val="Body Text"/>
    <w:basedOn w:val="a"/>
    <w:link w:val="af0"/>
    <w:uiPriority w:val="99"/>
    <w:unhideWhenUsed/>
    <w:rsid w:val="004A4E03"/>
    <w:pPr>
      <w:suppressAutoHyphens w:val="0"/>
      <w:spacing w:after="120"/>
    </w:pPr>
    <w:rPr>
      <w:rFonts w:cs="Times New Roman"/>
      <w:lang w:eastAsia="ru-RU"/>
    </w:rPr>
  </w:style>
  <w:style w:type="character" w:customStyle="1" w:styleId="af0">
    <w:name w:val="Основной текст Знак"/>
    <w:basedOn w:val="a0"/>
    <w:link w:val="af"/>
    <w:uiPriority w:val="99"/>
    <w:rsid w:val="004A4E03"/>
    <w:rPr>
      <w:rFonts w:ascii="Times New Roman" w:eastAsia="Times New Roman" w:hAnsi="Times New Roman" w:cs="Times New Roman"/>
      <w:sz w:val="24"/>
      <w:szCs w:val="24"/>
      <w:lang w:eastAsia="ru-RU"/>
    </w:rPr>
  </w:style>
  <w:style w:type="paragraph" w:styleId="af1">
    <w:name w:val="Balloon Text"/>
    <w:basedOn w:val="a"/>
    <w:link w:val="af2"/>
    <w:uiPriority w:val="99"/>
    <w:semiHidden/>
    <w:unhideWhenUsed/>
    <w:rsid w:val="0090586C"/>
    <w:rPr>
      <w:rFonts w:ascii="Segoe UI" w:hAnsi="Segoe UI" w:cs="Segoe UI"/>
      <w:sz w:val="18"/>
      <w:szCs w:val="18"/>
    </w:rPr>
  </w:style>
  <w:style w:type="character" w:customStyle="1" w:styleId="af2">
    <w:name w:val="Текст выноски Знак"/>
    <w:basedOn w:val="a0"/>
    <w:link w:val="af1"/>
    <w:uiPriority w:val="99"/>
    <w:semiHidden/>
    <w:rsid w:val="0090586C"/>
    <w:rPr>
      <w:rFonts w:ascii="Segoe UI" w:eastAsia="Times New Roman" w:hAnsi="Segoe UI" w:cs="Segoe UI"/>
      <w:sz w:val="18"/>
      <w:szCs w:val="18"/>
      <w:lang w:eastAsia="ar-SA"/>
    </w:rPr>
  </w:style>
  <w:style w:type="table" w:styleId="af3">
    <w:name w:val="Grid Table Light"/>
    <w:basedOn w:val="a1"/>
    <w:uiPriority w:val="40"/>
    <w:rsid w:val="00016E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
    <w:name w:val="Сетка таблицы светлая1"/>
    <w:basedOn w:val="a1"/>
    <w:next w:val="af3"/>
    <w:uiPriority w:val="40"/>
    <w:rsid w:val="008C1B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4">
    <w:name w:val="FollowedHyperlink"/>
    <w:basedOn w:val="a0"/>
    <w:uiPriority w:val="99"/>
    <w:semiHidden/>
    <w:unhideWhenUsed/>
    <w:rsid w:val="00793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3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1591</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Новикова</dc:creator>
  <cp:keywords/>
  <dc:description/>
  <cp:lastModifiedBy>Людмила Новикова</cp:lastModifiedBy>
  <cp:revision>2</cp:revision>
  <cp:lastPrinted>2021-03-02T08:40:00Z</cp:lastPrinted>
  <dcterms:created xsi:type="dcterms:W3CDTF">2021-03-03T10:14:00Z</dcterms:created>
  <dcterms:modified xsi:type="dcterms:W3CDTF">2021-03-03T10:14:00Z</dcterms:modified>
</cp:coreProperties>
</file>